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C70B3" w14:textId="77777777" w:rsidR="00972EF4" w:rsidRPr="00B427D4" w:rsidRDefault="00972EF4" w:rsidP="00972EF4">
      <w:pPr>
        <w:pStyle w:val="2"/>
        <w:rPr>
          <w:sz w:val="24"/>
        </w:rPr>
      </w:pPr>
      <w:bookmarkStart w:id="0" w:name="_Toc130574112"/>
      <w:r w:rsidRPr="00B427D4">
        <w:rPr>
          <w:rFonts w:hint="eastAsia"/>
          <w:sz w:val="24"/>
        </w:rPr>
        <w:t>（別添</w:t>
      </w:r>
      <w:r>
        <w:rPr>
          <w:rFonts w:hint="eastAsia"/>
          <w:sz w:val="24"/>
        </w:rPr>
        <w:t>２</w:t>
      </w:r>
      <w:r w:rsidRPr="00B427D4">
        <w:rPr>
          <w:rFonts w:hint="eastAsia"/>
          <w:sz w:val="24"/>
        </w:rPr>
        <w:t>）法第</w:t>
      </w:r>
      <w:r>
        <w:rPr>
          <w:rFonts w:hint="eastAsia"/>
          <w:sz w:val="24"/>
        </w:rPr>
        <w:t>２５</w:t>
      </w:r>
      <w:r w:rsidRPr="00B427D4">
        <w:rPr>
          <w:rFonts w:hint="eastAsia"/>
          <w:sz w:val="24"/>
        </w:rPr>
        <w:t>条に規定する主務大臣が定める基準に係る確認申請書</w:t>
      </w:r>
      <w:bookmarkEnd w:id="0"/>
    </w:p>
    <w:p w14:paraId="2CEC851B" w14:textId="77777777" w:rsidR="00972EF4" w:rsidRPr="00F60FDF" w:rsidRDefault="00972EF4" w:rsidP="00972EF4">
      <w:pPr>
        <w:widowControl/>
        <w:ind w:firstLine="260"/>
        <w:jc w:val="right"/>
        <w:rPr>
          <w:rFonts w:ascii="ＭＳ 明朝" w:eastAsia="ＭＳ 明朝" w:hAnsi="ＭＳ 明朝"/>
          <w:sz w:val="26"/>
          <w:szCs w:val="26"/>
        </w:rPr>
      </w:pPr>
      <w:r>
        <w:rPr>
          <w:rFonts w:hint="eastAsia"/>
          <w:sz w:val="24"/>
        </w:rPr>
        <w:t>【様式１】</w:t>
      </w:r>
    </w:p>
    <w:p w14:paraId="08BB1CE0" w14:textId="77777777" w:rsidR="00972EF4" w:rsidRPr="0071621D" w:rsidRDefault="00972EF4" w:rsidP="00972EF4">
      <w:pPr>
        <w:spacing w:line="400" w:lineRule="atLeast"/>
        <w:ind w:firstLineChars="100" w:firstLine="211"/>
        <w:rPr>
          <w:rFonts w:asciiTheme="minorEastAsia" w:hAnsiTheme="minorEastAsia"/>
          <w:b/>
          <w:szCs w:val="21"/>
        </w:rPr>
      </w:pPr>
    </w:p>
    <w:p w14:paraId="0D4F7C78" w14:textId="77777777" w:rsidR="00972EF4" w:rsidRPr="0096735C" w:rsidRDefault="00972EF4" w:rsidP="00972EF4">
      <w:pPr>
        <w:spacing w:line="400" w:lineRule="atLeast"/>
        <w:ind w:leftChars="300" w:left="630" w:rightChars="300" w:right="63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地域経済牽引事業の促進による地域の成長発展の基盤強化に関する法律第</w:t>
      </w:r>
      <w:r>
        <w:rPr>
          <w:rFonts w:asciiTheme="minorEastAsia" w:hAnsiTheme="minorEastAsia" w:hint="eastAsia"/>
          <w:sz w:val="24"/>
          <w:szCs w:val="21"/>
        </w:rPr>
        <w:t>二十五</w:t>
      </w:r>
      <w:r w:rsidRPr="0096735C">
        <w:rPr>
          <w:rFonts w:asciiTheme="minorEastAsia" w:hAnsiTheme="minorEastAsia" w:hint="eastAsia"/>
          <w:sz w:val="24"/>
          <w:szCs w:val="21"/>
        </w:rPr>
        <w:t>条の規定に基づ</w:t>
      </w:r>
      <w:r>
        <w:rPr>
          <w:rFonts w:asciiTheme="minorEastAsia" w:hAnsiTheme="minorEastAsia" w:hint="eastAsia"/>
          <w:sz w:val="24"/>
          <w:szCs w:val="21"/>
        </w:rPr>
        <w:t>く</w:t>
      </w:r>
      <w:r w:rsidRPr="0096735C">
        <w:rPr>
          <w:rFonts w:asciiTheme="minorEastAsia" w:hAnsiTheme="minorEastAsia" w:hint="eastAsia"/>
          <w:sz w:val="24"/>
          <w:szCs w:val="21"/>
        </w:rPr>
        <w:t>地域の成長発展の基盤強化に特に資するものとして主務大臣が定める基準に係る確認申請書</w:t>
      </w:r>
    </w:p>
    <w:p w14:paraId="3D66B8D2" w14:textId="77777777" w:rsidR="00972EF4" w:rsidRPr="00447BC5" w:rsidRDefault="00972EF4" w:rsidP="00972EF4">
      <w:pPr>
        <w:spacing w:line="400" w:lineRule="atLeast"/>
        <w:ind w:firstLineChars="100" w:firstLine="210"/>
        <w:rPr>
          <w:rFonts w:asciiTheme="minorEastAsia" w:hAnsiTheme="minorEastAsia"/>
          <w:szCs w:val="21"/>
        </w:rPr>
      </w:pPr>
    </w:p>
    <w:p w14:paraId="28CD3718" w14:textId="77777777" w:rsidR="00972EF4" w:rsidRDefault="00972EF4" w:rsidP="00972EF4">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63C74F49" w14:textId="77777777" w:rsidR="00972EF4" w:rsidRDefault="00972EF4" w:rsidP="00972EF4">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70398CDE" w14:textId="77777777" w:rsidR="00972EF4" w:rsidRPr="0096735C" w:rsidRDefault="00972EF4" w:rsidP="00972EF4">
      <w:pPr>
        <w:spacing w:line="400" w:lineRule="atLeast"/>
        <w:jc w:val="left"/>
        <w:rPr>
          <w:rFonts w:asciiTheme="minorEastAsia" w:hAnsiTheme="minorEastAsia"/>
          <w:sz w:val="24"/>
          <w:szCs w:val="21"/>
        </w:rPr>
      </w:pPr>
    </w:p>
    <w:p w14:paraId="6ADE0952" w14:textId="77777777" w:rsidR="00972EF4" w:rsidRPr="0096735C"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6318858C" w14:textId="77777777" w:rsidR="00972EF4"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3EC84851" w14:textId="77777777" w:rsidR="00972EF4" w:rsidRPr="00333E80" w:rsidRDefault="00972EF4" w:rsidP="00972EF4">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248B19F4" w14:textId="77777777" w:rsidR="00972EF4" w:rsidRPr="0096735C" w:rsidRDefault="00972EF4" w:rsidP="00972EF4">
      <w:pPr>
        <w:spacing w:line="400" w:lineRule="atLeast"/>
        <w:ind w:rightChars="50" w:right="105" w:firstLineChars="100" w:firstLine="240"/>
        <w:jc w:val="left"/>
        <w:rPr>
          <w:rFonts w:asciiTheme="minorEastAsia" w:hAnsiTheme="minorEastAsia"/>
          <w:sz w:val="24"/>
          <w:szCs w:val="21"/>
        </w:rPr>
      </w:pPr>
    </w:p>
    <w:p w14:paraId="076F66E8" w14:textId="77777777" w:rsidR="00972EF4" w:rsidRPr="0096735C" w:rsidRDefault="00972EF4" w:rsidP="00972EF4">
      <w:pPr>
        <w:spacing w:line="400" w:lineRule="atLeast"/>
        <w:ind w:firstLineChars="100" w:firstLine="240"/>
        <w:rPr>
          <w:rFonts w:asciiTheme="minorEastAsia" w:hAnsiTheme="minorEastAsia"/>
          <w:sz w:val="24"/>
          <w:szCs w:val="21"/>
        </w:rPr>
      </w:pPr>
    </w:p>
    <w:p w14:paraId="57CB8DC6"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承認地域経済牽引事業について、地域経済牽引事業の促進による地域の成長発展の基盤強化に関する法律</w:t>
      </w:r>
      <w:r>
        <w:rPr>
          <w:rFonts w:asciiTheme="minorEastAsia" w:hAnsiTheme="minorEastAsia" w:hint="eastAsia"/>
          <w:sz w:val="24"/>
          <w:szCs w:val="21"/>
        </w:rPr>
        <w:t>（以下「法」という。）</w:t>
      </w:r>
      <w:r w:rsidRPr="0096735C">
        <w:rPr>
          <w:rFonts w:asciiTheme="minorEastAsia" w:hAnsiTheme="minorEastAsia" w:hint="eastAsia"/>
          <w:sz w:val="24"/>
          <w:szCs w:val="21"/>
        </w:rPr>
        <w:t>第</w:t>
      </w:r>
      <w:r>
        <w:rPr>
          <w:rFonts w:asciiTheme="minorEastAsia" w:hAnsiTheme="minorEastAsia" w:hint="eastAsia"/>
          <w:sz w:val="24"/>
          <w:szCs w:val="21"/>
        </w:rPr>
        <w:t>２５</w:t>
      </w:r>
      <w:r w:rsidRPr="0096735C">
        <w:rPr>
          <w:rFonts w:asciiTheme="minorEastAsia" w:hAnsiTheme="minorEastAsia" w:hint="eastAsia"/>
          <w:sz w:val="24"/>
          <w:szCs w:val="21"/>
        </w:rPr>
        <w:t>条の規定に基づく確認を受けたいので申請します。</w:t>
      </w:r>
    </w:p>
    <w:p w14:paraId="370AC750" w14:textId="77777777" w:rsidR="00972EF4" w:rsidRPr="0096735C" w:rsidRDefault="00972EF4" w:rsidP="00972EF4">
      <w:pPr>
        <w:spacing w:line="400" w:lineRule="atLeast"/>
        <w:ind w:firstLineChars="100" w:firstLine="210"/>
        <w:rPr>
          <w:rFonts w:asciiTheme="minorEastAsia" w:hAnsiTheme="minorEastAsia"/>
          <w:szCs w:val="21"/>
        </w:rPr>
      </w:pPr>
    </w:p>
    <w:p w14:paraId="338D0E7F" w14:textId="77777777" w:rsidR="00972EF4" w:rsidRPr="0096735C" w:rsidRDefault="00972EF4" w:rsidP="00972EF4">
      <w:pPr>
        <w:spacing w:line="400" w:lineRule="atLeast"/>
        <w:ind w:firstLineChars="100" w:firstLine="210"/>
        <w:rPr>
          <w:rFonts w:asciiTheme="minorEastAsia" w:hAnsiTheme="minorEastAsia"/>
          <w:szCs w:val="21"/>
        </w:rPr>
      </w:pPr>
    </w:p>
    <w:p w14:paraId="4571EE16" w14:textId="77777777" w:rsidR="00972EF4" w:rsidRPr="0096735C" w:rsidRDefault="00972EF4" w:rsidP="00972EF4">
      <w:pPr>
        <w:spacing w:line="400" w:lineRule="atLeast"/>
        <w:ind w:firstLineChars="100" w:firstLine="210"/>
        <w:rPr>
          <w:rFonts w:asciiTheme="minorEastAsia" w:hAnsiTheme="minorEastAsia"/>
          <w:szCs w:val="21"/>
        </w:rPr>
      </w:pPr>
    </w:p>
    <w:p w14:paraId="3EC79490" w14:textId="77777777" w:rsidR="00972EF4" w:rsidRPr="0096735C" w:rsidRDefault="00972EF4" w:rsidP="00972EF4">
      <w:pPr>
        <w:spacing w:line="400" w:lineRule="atLeast"/>
        <w:ind w:firstLineChars="100" w:firstLine="210"/>
        <w:rPr>
          <w:rFonts w:asciiTheme="minorEastAsia" w:hAnsiTheme="minorEastAsia"/>
          <w:szCs w:val="21"/>
        </w:rPr>
      </w:pPr>
    </w:p>
    <w:p w14:paraId="099B3899" w14:textId="77777777" w:rsidR="00972EF4" w:rsidRPr="0096735C" w:rsidRDefault="00972EF4" w:rsidP="00972EF4">
      <w:pPr>
        <w:spacing w:line="400" w:lineRule="atLeast"/>
        <w:ind w:firstLineChars="100" w:firstLine="210"/>
        <w:rPr>
          <w:rFonts w:asciiTheme="minorEastAsia" w:hAnsiTheme="minorEastAsia"/>
          <w:szCs w:val="21"/>
        </w:rPr>
      </w:pPr>
    </w:p>
    <w:p w14:paraId="22D708B8" w14:textId="77777777" w:rsidR="00972EF4" w:rsidRPr="0096735C" w:rsidRDefault="00972EF4" w:rsidP="00972EF4">
      <w:pPr>
        <w:spacing w:line="400" w:lineRule="atLeast"/>
        <w:ind w:firstLineChars="100" w:firstLine="210"/>
        <w:rPr>
          <w:rFonts w:asciiTheme="minorEastAsia" w:hAnsiTheme="minorEastAsia"/>
          <w:szCs w:val="21"/>
        </w:rPr>
      </w:pPr>
    </w:p>
    <w:p w14:paraId="2E764B18"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14:paraId="0B2B9FCE"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 xml:space="preserve">１　</w:t>
      </w:r>
      <w:r>
        <w:rPr>
          <w:rFonts w:asciiTheme="minorEastAsia" w:hAnsiTheme="minorEastAsia" w:hint="eastAsia"/>
          <w:sz w:val="24"/>
          <w:szCs w:val="21"/>
        </w:rPr>
        <w:t>用紙の大きさは、日本産業</w:t>
      </w:r>
      <w:r w:rsidRPr="0096735C">
        <w:rPr>
          <w:rFonts w:asciiTheme="minorEastAsia" w:hAnsiTheme="minorEastAsia" w:hint="eastAsia"/>
          <w:sz w:val="24"/>
          <w:szCs w:val="21"/>
        </w:rPr>
        <w:t>規格Ａ４とする。</w:t>
      </w:r>
    </w:p>
    <w:p w14:paraId="239E4B46" w14:textId="77777777" w:rsidR="00972EF4" w:rsidRPr="0096735C" w:rsidRDefault="00972EF4" w:rsidP="00972EF4">
      <w:pPr>
        <w:spacing w:line="400" w:lineRule="atLeast"/>
        <w:ind w:firstLineChars="200" w:firstLine="480"/>
        <w:rPr>
          <w:rFonts w:asciiTheme="minorEastAsia" w:hAnsiTheme="minorEastAsia"/>
          <w:szCs w:val="21"/>
        </w:rPr>
      </w:pPr>
      <w:r>
        <w:rPr>
          <w:rFonts w:asciiTheme="minorEastAsia" w:hAnsiTheme="minorEastAsia" w:hint="eastAsia"/>
          <w:sz w:val="24"/>
          <w:szCs w:val="21"/>
        </w:rPr>
        <w:t xml:space="preserve">２　</w:t>
      </w:r>
      <w:r w:rsidRPr="0096735C">
        <w:rPr>
          <w:rFonts w:asciiTheme="minorEastAsia" w:hAnsiTheme="minorEastAsia" w:hint="eastAsia"/>
          <w:sz w:val="24"/>
          <w:szCs w:val="21"/>
        </w:rPr>
        <w:t>承認を受けた地域経済牽引事業計画を添付すること。</w:t>
      </w:r>
    </w:p>
    <w:p w14:paraId="0ABA8111" w14:textId="77777777" w:rsidR="00972EF4" w:rsidRPr="0096735C" w:rsidRDefault="00972EF4" w:rsidP="00972EF4">
      <w:pPr>
        <w:spacing w:line="400" w:lineRule="atLeast"/>
        <w:ind w:firstLineChars="100" w:firstLine="240"/>
        <w:rPr>
          <w:rFonts w:asciiTheme="minorEastAsia" w:hAnsiTheme="minorEastAsia"/>
          <w:sz w:val="24"/>
          <w:szCs w:val="24"/>
        </w:rPr>
      </w:pPr>
    </w:p>
    <w:p w14:paraId="2FF62B57"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11E96AFF"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4F1C95">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対象事業者</w:t>
      </w:r>
      <w:r>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948"/>
      </w:tblGrid>
      <w:tr w:rsidR="00972EF4" w:rsidRPr="0096735C" w14:paraId="500C5946" w14:textId="77777777" w:rsidTr="00C2318E">
        <w:tc>
          <w:tcPr>
            <w:tcW w:w="3595" w:type="dxa"/>
            <w:shd w:val="clear" w:color="auto" w:fill="auto"/>
          </w:tcPr>
          <w:p w14:paraId="42BA6991" w14:textId="77777777" w:rsidR="00972EF4" w:rsidRPr="0096735C" w:rsidRDefault="00972EF4" w:rsidP="00C2318E">
            <w:pPr>
              <w:spacing w:line="400" w:lineRule="atLeast"/>
              <w:rPr>
                <w:rFonts w:asciiTheme="minorEastAsia" w:hAnsiTheme="minorEastAsia"/>
                <w:sz w:val="24"/>
                <w:szCs w:val="21"/>
              </w:rPr>
            </w:pPr>
            <w:r w:rsidRPr="0096735C">
              <w:rPr>
                <w:rFonts w:asciiTheme="minorEastAsia" w:hAnsiTheme="minorEastAsia" w:hint="eastAsia"/>
                <w:sz w:val="24"/>
                <w:szCs w:val="21"/>
              </w:rPr>
              <w:t>対象事業者の</w:t>
            </w:r>
            <w:r>
              <w:rPr>
                <w:rFonts w:asciiTheme="minorEastAsia" w:hAnsiTheme="minorEastAsia" w:hint="eastAsia"/>
                <w:sz w:val="24"/>
                <w:szCs w:val="21"/>
              </w:rPr>
              <w:t>住所及び名称</w:t>
            </w:r>
          </w:p>
        </w:tc>
        <w:tc>
          <w:tcPr>
            <w:tcW w:w="6044" w:type="dxa"/>
            <w:shd w:val="clear" w:color="auto" w:fill="auto"/>
          </w:tcPr>
          <w:p w14:paraId="0470AA9C" w14:textId="77777777" w:rsidR="00972EF4"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（住所）</w:t>
            </w:r>
          </w:p>
          <w:p w14:paraId="714DC85C" w14:textId="77777777" w:rsidR="00972EF4" w:rsidRPr="0096735C"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（名称）</w:t>
            </w:r>
          </w:p>
        </w:tc>
      </w:tr>
    </w:tbl>
    <w:p w14:paraId="04C9A2FB" w14:textId="77777777" w:rsidR="00972EF4" w:rsidRPr="00A7459A" w:rsidRDefault="00972EF4" w:rsidP="00972EF4">
      <w:pPr>
        <w:spacing w:line="400" w:lineRule="atLeast"/>
        <w:ind w:leftChars="100" w:left="450" w:hangingChars="100" w:hanging="240"/>
        <w:rPr>
          <w:rFonts w:asciiTheme="minorEastAsia" w:hAnsiTheme="minorEastAsia"/>
          <w:sz w:val="24"/>
          <w:szCs w:val="21"/>
        </w:rPr>
      </w:pPr>
      <w:r w:rsidRPr="00A7459A">
        <w:rPr>
          <w:rFonts w:asciiTheme="minorEastAsia" w:hAnsiTheme="minorEastAsia" w:hint="eastAsia"/>
          <w:sz w:val="24"/>
          <w:szCs w:val="21"/>
        </w:rPr>
        <w:t>※　対象事業者が複数の場合には、事業者毎に欄を作成すること。</w:t>
      </w:r>
    </w:p>
    <w:p w14:paraId="467E34C6" w14:textId="77777777" w:rsidR="00972EF4" w:rsidRPr="0090550F" w:rsidRDefault="00972EF4" w:rsidP="00972EF4">
      <w:pPr>
        <w:spacing w:line="400" w:lineRule="atLeast"/>
        <w:ind w:firstLineChars="200" w:firstLine="480"/>
        <w:rPr>
          <w:rFonts w:asciiTheme="minorEastAsia" w:hAnsiTheme="minorEastAsia"/>
          <w:sz w:val="24"/>
          <w:szCs w:val="21"/>
        </w:rPr>
      </w:pPr>
    </w:p>
    <w:p w14:paraId="72BB759B"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 xml:space="preserve">２　</w:t>
      </w:r>
      <w:r w:rsidRPr="003A6A60">
        <w:rPr>
          <w:rFonts w:asciiTheme="majorEastAsia" w:eastAsiaTheme="majorEastAsia" w:hAnsiTheme="majorEastAsia" w:hint="eastAsia"/>
          <w:sz w:val="24"/>
          <w:szCs w:val="24"/>
        </w:rPr>
        <w:t>当該承認地域経済牽引事業に係る</w:t>
      </w:r>
      <w:r>
        <w:rPr>
          <w:rFonts w:asciiTheme="majorEastAsia" w:eastAsiaTheme="majorEastAsia" w:hAnsiTheme="majorEastAsia" w:hint="eastAsia"/>
          <w:sz w:val="24"/>
          <w:szCs w:val="24"/>
        </w:rPr>
        <w:t>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1A816447" w14:textId="77777777" w:rsidTr="00C2318E">
        <w:trPr>
          <w:trHeight w:val="420"/>
        </w:trPr>
        <w:tc>
          <w:tcPr>
            <w:tcW w:w="9639" w:type="dxa"/>
            <w:shd w:val="clear" w:color="auto" w:fill="auto"/>
            <w:vAlign w:val="center"/>
          </w:tcPr>
          <w:p w14:paraId="1C9BA7CF" w14:textId="77777777" w:rsidR="00972EF4" w:rsidRPr="00170CFC" w:rsidRDefault="00972EF4" w:rsidP="00C2318E">
            <w:pPr>
              <w:spacing w:line="400" w:lineRule="atLeast"/>
              <w:ind w:firstLineChars="1700" w:firstLine="4080"/>
              <w:rPr>
                <w:rFonts w:asciiTheme="minorEastAsia" w:hAnsiTheme="minorEastAsia"/>
                <w:sz w:val="24"/>
                <w:szCs w:val="21"/>
              </w:rPr>
            </w:pPr>
            <w:r>
              <w:rPr>
                <w:rFonts w:asciiTheme="minorEastAsia" w:hAnsiTheme="minorEastAsia" w:hint="eastAsia"/>
                <w:sz w:val="24"/>
                <w:szCs w:val="21"/>
              </w:rPr>
              <w:t>（変更承認日：　　　　　　　　　　　　　　）</w:t>
            </w:r>
          </w:p>
        </w:tc>
      </w:tr>
    </w:tbl>
    <w:p w14:paraId="70F0B47B" w14:textId="77777777" w:rsidR="00972EF4" w:rsidRPr="00D12B5B" w:rsidRDefault="00972EF4" w:rsidP="00972EF4">
      <w:pPr>
        <w:spacing w:line="400" w:lineRule="atLeast"/>
        <w:ind w:leftChars="100" w:left="690" w:hangingChars="200" w:hanging="480"/>
        <w:rPr>
          <w:rFonts w:asciiTheme="minorEastAsia" w:hAnsiTheme="minorEastAsia"/>
          <w:sz w:val="24"/>
          <w:szCs w:val="21"/>
        </w:rPr>
      </w:pPr>
      <w:r w:rsidRPr="00D12B5B">
        <w:rPr>
          <w:rFonts w:asciiTheme="minorEastAsia" w:hAnsiTheme="minorEastAsia" w:hint="eastAsia"/>
          <w:sz w:val="24"/>
          <w:szCs w:val="21"/>
        </w:rPr>
        <w:t>※　地域経済牽引事業計画の変更の承認を受けた場合は、括弧書きで変更承認日を記載すること。</w:t>
      </w:r>
    </w:p>
    <w:p w14:paraId="5D48D7D4"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4E8CD7AD"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３</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4A66C94F" w14:textId="77777777" w:rsidTr="00C2318E">
        <w:trPr>
          <w:trHeight w:val="420"/>
        </w:trPr>
        <w:tc>
          <w:tcPr>
            <w:tcW w:w="9639" w:type="dxa"/>
            <w:shd w:val="clear" w:color="auto" w:fill="auto"/>
            <w:vAlign w:val="center"/>
          </w:tcPr>
          <w:p w14:paraId="0C3AE4C3" w14:textId="77777777" w:rsidR="00972EF4" w:rsidRPr="00170CFC" w:rsidRDefault="00972EF4" w:rsidP="00C2318E">
            <w:pPr>
              <w:spacing w:line="400" w:lineRule="atLeast"/>
              <w:rPr>
                <w:rFonts w:asciiTheme="minorEastAsia" w:hAnsiTheme="minorEastAsia"/>
                <w:sz w:val="24"/>
                <w:szCs w:val="21"/>
              </w:rPr>
            </w:pPr>
          </w:p>
        </w:tc>
      </w:tr>
    </w:tbl>
    <w:p w14:paraId="6445A594"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5EEDFC59"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４</w:t>
      </w:r>
      <w:r w:rsidRPr="0096735C">
        <w:rPr>
          <w:rFonts w:asciiTheme="majorEastAsia" w:eastAsiaTheme="majorEastAsia" w:hAnsiTheme="majorEastAsia" w:hint="eastAsia"/>
          <w:sz w:val="24"/>
          <w:szCs w:val="21"/>
        </w:rPr>
        <w:t xml:space="preserve">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1B9CDC1C" w14:textId="77777777" w:rsidTr="00C2318E">
        <w:trPr>
          <w:trHeight w:val="420"/>
        </w:trPr>
        <w:tc>
          <w:tcPr>
            <w:tcW w:w="9639" w:type="dxa"/>
            <w:shd w:val="clear" w:color="auto" w:fill="auto"/>
            <w:vAlign w:val="center"/>
          </w:tcPr>
          <w:p w14:paraId="6AF6DD83" w14:textId="77777777" w:rsidR="00972EF4" w:rsidRPr="0096735C" w:rsidRDefault="00972EF4" w:rsidP="00C2318E">
            <w:pPr>
              <w:spacing w:line="400" w:lineRule="atLeast"/>
              <w:ind w:firstLineChars="100" w:firstLine="240"/>
              <w:rPr>
                <w:rFonts w:asciiTheme="minorEastAsia" w:hAnsiTheme="minorEastAsia"/>
                <w:sz w:val="24"/>
                <w:szCs w:val="21"/>
              </w:rPr>
            </w:pPr>
          </w:p>
        </w:tc>
      </w:tr>
    </w:tbl>
    <w:p w14:paraId="6BB4D8D7" w14:textId="77777777" w:rsidR="00972EF4" w:rsidRDefault="00972EF4" w:rsidP="00972EF4">
      <w:pPr>
        <w:spacing w:line="400" w:lineRule="atLeast"/>
        <w:rPr>
          <w:rFonts w:asciiTheme="majorEastAsia" w:eastAsiaTheme="majorEastAsia" w:hAnsiTheme="majorEastAsia"/>
          <w:sz w:val="24"/>
          <w:szCs w:val="24"/>
        </w:rPr>
      </w:pPr>
    </w:p>
    <w:p w14:paraId="13EF9290"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3FEAD86D" w14:textId="77777777" w:rsidTr="00C2318E">
        <w:trPr>
          <w:trHeight w:val="1058"/>
        </w:trPr>
        <w:tc>
          <w:tcPr>
            <w:tcW w:w="9486" w:type="dxa"/>
            <w:shd w:val="clear" w:color="auto" w:fill="auto"/>
            <w:vAlign w:val="center"/>
          </w:tcPr>
          <w:p w14:paraId="68D66BDC" w14:textId="77777777" w:rsidR="00972EF4" w:rsidRDefault="00972EF4" w:rsidP="00C2318E">
            <w:pPr>
              <w:spacing w:line="400" w:lineRule="atLeast"/>
              <w:ind w:firstLineChars="100" w:firstLine="240"/>
              <w:rPr>
                <w:rFonts w:asciiTheme="minorEastAsia" w:hAnsiTheme="minorEastAsia"/>
                <w:sz w:val="24"/>
                <w:szCs w:val="21"/>
              </w:rPr>
            </w:pPr>
          </w:p>
          <w:p w14:paraId="04F4D70E" w14:textId="77777777" w:rsidR="00972EF4" w:rsidRPr="00797261"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 xml:space="preserve">　</w:t>
            </w:r>
          </w:p>
        </w:tc>
      </w:tr>
    </w:tbl>
    <w:p w14:paraId="2F7DAB1C" w14:textId="77777777" w:rsidR="00972EF4" w:rsidRDefault="00972EF4" w:rsidP="00972EF4">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製品や役務の概要等を３０行以内で簡潔に記載すること。図表を用いることは可。</w:t>
      </w:r>
    </w:p>
    <w:p w14:paraId="031A1F07" w14:textId="77777777" w:rsidR="00972EF4" w:rsidRDefault="00972EF4" w:rsidP="00972EF4">
      <w:pPr>
        <w:spacing w:line="400" w:lineRule="atLeast"/>
        <w:ind w:leftChars="100" w:left="690" w:hangingChars="200" w:hanging="480"/>
        <w:rPr>
          <w:rFonts w:asciiTheme="minorEastAsia" w:hAnsiTheme="minorEastAsia"/>
          <w:sz w:val="24"/>
          <w:szCs w:val="21"/>
        </w:rPr>
      </w:pPr>
    </w:p>
    <w:p w14:paraId="1C24F875" w14:textId="77777777" w:rsidR="00972EF4"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６</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に係る労働生産性の伸び率又は投資収益率（</w:t>
      </w:r>
      <w:r w:rsidRPr="00772C1C">
        <w:rPr>
          <w:rFonts w:asciiTheme="majorEastAsia" w:eastAsiaTheme="majorEastAsia" w:hAnsiTheme="majorEastAsia" w:hint="eastAsia"/>
          <w:sz w:val="24"/>
          <w:szCs w:val="21"/>
          <w:u w:val="single"/>
        </w:rPr>
        <w:t>以下のいずれかを記載すること</w:t>
      </w:r>
      <w:r>
        <w:rPr>
          <w:rFonts w:asciiTheme="majorEastAsia" w:eastAsiaTheme="majorEastAsia" w:hAnsiTheme="majorEastAsia" w:hint="eastAsia"/>
          <w:sz w:val="24"/>
          <w:szCs w:val="21"/>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5"/>
        <w:gridCol w:w="3220"/>
      </w:tblGrid>
      <w:tr w:rsidR="00972EF4" w:rsidRPr="0096735C" w14:paraId="38CB7E68" w14:textId="77777777" w:rsidTr="00C2318E">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515C5ABA"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以降の５事業年度</w:t>
            </w:r>
            <w:r>
              <w:rPr>
                <w:rFonts w:asciiTheme="minorEastAsia" w:hAnsiTheme="minorEastAsia" w:hint="eastAsia"/>
                <w:sz w:val="24"/>
                <w:szCs w:val="24"/>
              </w:rPr>
              <w:t xml:space="preserve">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F116138" w14:textId="77777777" w:rsidR="00972EF4" w:rsidRPr="003A159F"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33F1D43D" w14:textId="77777777" w:rsidTr="00C2318E">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1BD262F" w14:textId="77777777" w:rsidR="00972EF4" w:rsidRPr="00772C1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の翌事業年度以降の５事業年度</w:t>
            </w:r>
            <w:r>
              <w:rPr>
                <w:rFonts w:asciiTheme="minorEastAsia" w:hAnsiTheme="minorEastAsia" w:hint="eastAsia"/>
                <w:sz w:val="24"/>
                <w:szCs w:val="24"/>
              </w:rPr>
              <w:t xml:space="preserve">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06EC114"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5F67F5EF"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Pr="006769D6">
        <w:rPr>
          <w:rFonts w:asciiTheme="minorEastAsia" w:hAnsiTheme="minorEastAsia" w:hint="eastAsia"/>
          <w:sz w:val="24"/>
          <w:szCs w:val="24"/>
        </w:rPr>
        <w:t>属する事業年度」</w:t>
      </w:r>
      <w:r>
        <w:rPr>
          <w:rFonts w:asciiTheme="minorEastAsia" w:hAnsiTheme="minorEastAsia" w:hint="eastAsia"/>
          <w:sz w:val="24"/>
          <w:szCs w:val="24"/>
        </w:rPr>
        <w:t>とする。</w:t>
      </w:r>
    </w:p>
    <w:p w14:paraId="3252CBFF"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労働生産性の伸び率を記載した場合は、その算定根拠を別紙１－１に記入して提出し、投資収益率を記載した場合は、その算定根拠を別紙１－２に記入して提出すること。</w:t>
      </w:r>
    </w:p>
    <w:p w14:paraId="745DE48B" w14:textId="77777777" w:rsidR="00EE5181" w:rsidRPr="001776E3" w:rsidRDefault="00EE5181" w:rsidP="00972EF4">
      <w:pPr>
        <w:spacing w:line="400" w:lineRule="atLeast"/>
        <w:rPr>
          <w:rFonts w:asciiTheme="majorEastAsia" w:eastAsiaTheme="majorEastAsia" w:hAnsiTheme="majorEastAsia"/>
          <w:sz w:val="24"/>
          <w:szCs w:val="24"/>
        </w:rPr>
      </w:pPr>
    </w:p>
    <w:p w14:paraId="2700C31C" w14:textId="77777777" w:rsidR="00972EF4" w:rsidRPr="0096735C" w:rsidRDefault="00972EF4" w:rsidP="00972EF4">
      <w:pPr>
        <w:spacing w:line="400" w:lineRule="atLeas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8"/>
        <w:gridCol w:w="2658"/>
      </w:tblGrid>
      <w:tr w:rsidR="00972EF4" w:rsidRPr="0096735C" w14:paraId="0D2FEB34" w14:textId="77777777" w:rsidTr="00C2318E">
        <w:trPr>
          <w:trHeight w:val="800"/>
        </w:trPr>
        <w:tc>
          <w:tcPr>
            <w:tcW w:w="6952" w:type="dxa"/>
            <w:shd w:val="clear" w:color="auto" w:fill="auto"/>
          </w:tcPr>
          <w:p w14:paraId="6349CA5C"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r>
              <w:rPr>
                <w:rFonts w:asciiTheme="minorEastAsia" w:hAnsiTheme="minorEastAsia" w:hint="eastAsia"/>
                <w:sz w:val="24"/>
                <w:szCs w:val="24"/>
              </w:rPr>
              <w:t xml:space="preserve">　×１００　</w:t>
            </w:r>
          </w:p>
        </w:tc>
        <w:tc>
          <w:tcPr>
            <w:tcW w:w="2687" w:type="dxa"/>
            <w:shd w:val="clear" w:color="auto" w:fill="auto"/>
            <w:vAlign w:val="center"/>
          </w:tcPr>
          <w:p w14:paraId="20E50650" w14:textId="77777777" w:rsidR="00972EF4" w:rsidRPr="0096735C" w:rsidRDefault="00972EF4" w:rsidP="00C2318E">
            <w:pPr>
              <w:wordWrap w:val="0"/>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0F175692" w14:textId="77777777" w:rsidTr="00C2318E">
        <w:trPr>
          <w:trHeight w:val="800"/>
        </w:trPr>
        <w:tc>
          <w:tcPr>
            <w:tcW w:w="6952" w:type="dxa"/>
            <w:shd w:val="clear" w:color="auto" w:fill="auto"/>
          </w:tcPr>
          <w:p w14:paraId="025EEFF4"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lastRenderedPageBreak/>
              <w:t>過去５事業年度の当該商品又は役務</w:t>
            </w:r>
            <w:r>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r>
              <w:rPr>
                <w:rFonts w:asciiTheme="minorEastAsia" w:hAnsiTheme="minorEastAsia" w:hint="eastAsia"/>
                <w:sz w:val="24"/>
                <w:szCs w:val="24"/>
              </w:rPr>
              <w:t xml:space="preserve">　×１００　</w:t>
            </w:r>
          </w:p>
        </w:tc>
        <w:tc>
          <w:tcPr>
            <w:tcW w:w="2687" w:type="dxa"/>
            <w:shd w:val="clear" w:color="auto" w:fill="auto"/>
            <w:vAlign w:val="center"/>
          </w:tcPr>
          <w:p w14:paraId="0F2810C0" w14:textId="77777777" w:rsidR="00972EF4" w:rsidRPr="0096735C" w:rsidRDefault="00972EF4" w:rsidP="00C2318E">
            <w:pPr>
              <w:wordWrap w:val="0"/>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w:t>
            </w:r>
          </w:p>
        </w:tc>
      </w:tr>
    </w:tbl>
    <w:p w14:paraId="0D60C7BB"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14:paraId="54DAF63F" w14:textId="77777777" w:rsidR="00972EF4" w:rsidRPr="00BF6182" w:rsidRDefault="00972EF4" w:rsidP="00972EF4">
      <w:pPr>
        <w:spacing w:line="400" w:lineRule="atLeast"/>
        <w:ind w:leftChars="100" w:left="450" w:hangingChars="100" w:hanging="240"/>
        <w:rPr>
          <w:rFonts w:asciiTheme="minorEastAsia" w:hAnsiTheme="minorEastAsia"/>
          <w:sz w:val="24"/>
          <w:szCs w:val="24"/>
        </w:rPr>
      </w:pPr>
    </w:p>
    <w:p w14:paraId="6F25BA42"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減価償却資産</w:t>
      </w:r>
    </w:p>
    <w:p w14:paraId="15675AFC" w14:textId="77777777" w:rsidR="00972EF4" w:rsidRPr="0096735C" w:rsidRDefault="00972EF4" w:rsidP="00972EF4">
      <w:pPr>
        <w:spacing w:line="400" w:lineRule="atLeast"/>
        <w:ind w:leftChars="300" w:left="630"/>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972EF4" w:rsidRPr="0096735C" w14:paraId="4764DE6B" w14:textId="77777777" w:rsidTr="00C2318E">
        <w:tc>
          <w:tcPr>
            <w:tcW w:w="893" w:type="dxa"/>
            <w:shd w:val="clear" w:color="auto" w:fill="auto"/>
            <w:vAlign w:val="center"/>
          </w:tcPr>
          <w:p w14:paraId="391A2354"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14:paraId="3ACA26AE"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14:paraId="783AC0E4"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14:paraId="0106E950"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14:paraId="0131468F"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5A6C7AAB"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14:paraId="0EAAE998"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4DD033ED"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972EF4" w:rsidRPr="0096735C" w14:paraId="3D8940EF" w14:textId="77777777" w:rsidTr="00C2318E">
        <w:trPr>
          <w:trHeight w:val="509"/>
        </w:trPr>
        <w:tc>
          <w:tcPr>
            <w:tcW w:w="893" w:type="dxa"/>
            <w:shd w:val="clear" w:color="auto" w:fill="auto"/>
          </w:tcPr>
          <w:p w14:paraId="03B5881D"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663380D2"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60E1F2A5"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5726958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7E436A54"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7B53163E"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675B0AF7" w14:textId="77777777" w:rsidTr="00C2318E">
        <w:trPr>
          <w:trHeight w:val="559"/>
        </w:trPr>
        <w:tc>
          <w:tcPr>
            <w:tcW w:w="893" w:type="dxa"/>
            <w:shd w:val="clear" w:color="auto" w:fill="auto"/>
          </w:tcPr>
          <w:p w14:paraId="558CE6C4"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197DD42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0B40CC0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4FE05660"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6C5E8A4C"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01EC7542"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4A91A10A" w14:textId="77777777" w:rsidTr="00C2318E">
        <w:trPr>
          <w:trHeight w:val="553"/>
        </w:trPr>
        <w:tc>
          <w:tcPr>
            <w:tcW w:w="893" w:type="dxa"/>
            <w:shd w:val="clear" w:color="auto" w:fill="auto"/>
          </w:tcPr>
          <w:p w14:paraId="2AC0831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367206A3"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4F7569A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66637F6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121BEB7D"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5425D60D" w14:textId="77777777" w:rsidR="00972EF4" w:rsidRPr="0096735C" w:rsidRDefault="00972EF4" w:rsidP="00C2318E">
            <w:pPr>
              <w:spacing w:line="400" w:lineRule="atLeast"/>
              <w:ind w:firstLineChars="100" w:firstLine="241"/>
              <w:rPr>
                <w:rFonts w:asciiTheme="minorEastAsia" w:hAnsiTheme="minorEastAsia"/>
                <w:b/>
                <w:sz w:val="24"/>
                <w:szCs w:val="24"/>
              </w:rPr>
            </w:pPr>
          </w:p>
        </w:tc>
      </w:tr>
    </w:tbl>
    <w:p w14:paraId="4FDBE130"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w:t>
      </w:r>
      <w:r>
        <w:rPr>
          <w:rFonts w:asciiTheme="minorEastAsia" w:hAnsiTheme="minorEastAsia" w:hint="eastAsia"/>
          <w:sz w:val="24"/>
          <w:szCs w:val="24"/>
        </w:rPr>
        <w:t>に</w:t>
      </w:r>
      <w:r w:rsidRPr="0096735C">
        <w:rPr>
          <w:rFonts w:asciiTheme="minorEastAsia" w:hAnsiTheme="minorEastAsia" w:hint="eastAsia"/>
          <w:sz w:val="24"/>
          <w:szCs w:val="24"/>
        </w:rPr>
        <w:t>規定する資産の種類を記入すること。</w:t>
      </w:r>
    </w:p>
    <w:p w14:paraId="415ABF23"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14:paraId="51636D3E" w14:textId="77777777" w:rsidR="00972EF4" w:rsidRPr="0096735C" w:rsidRDefault="00972EF4" w:rsidP="00972EF4">
      <w:pPr>
        <w:spacing w:line="400" w:lineRule="atLeast"/>
        <w:ind w:firstLineChars="100" w:firstLine="240"/>
        <w:rPr>
          <w:rFonts w:asciiTheme="minorEastAsia" w:hAnsiTheme="minorEastAsia"/>
          <w:sz w:val="24"/>
          <w:szCs w:val="24"/>
        </w:rPr>
      </w:pPr>
    </w:p>
    <w:p w14:paraId="6E62C0F5" w14:textId="77777777" w:rsidR="00972EF4" w:rsidRDefault="00972EF4" w:rsidP="00972EF4">
      <w:pPr>
        <w:spacing w:line="40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972EF4" w:rsidRPr="0096735C" w14:paraId="30075FE4" w14:textId="77777777" w:rsidTr="00C2318E">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1643F" w14:textId="77777777" w:rsidR="00972EF4" w:rsidRPr="0096735C" w:rsidRDefault="00972EF4" w:rsidP="00C2318E">
            <w:pPr>
              <w:spacing w:line="400" w:lineRule="atLeast"/>
              <w:rPr>
                <w:rFonts w:asciiTheme="minorEastAsia" w:hAnsiTheme="minorEastAsia"/>
                <w:sz w:val="24"/>
                <w:szCs w:val="24"/>
              </w:rPr>
            </w:pPr>
            <w:bookmarkStart w:id="1" w:name="_Hlk130237558"/>
            <w:r w:rsidRPr="0096735C">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2DBFBECC" w14:textId="77777777" w:rsidR="00972EF4" w:rsidRPr="0096735C" w:rsidRDefault="00972EF4" w:rsidP="00C2318E">
            <w:pPr>
              <w:spacing w:line="400" w:lineRule="atLeast"/>
              <w:ind w:firstLineChars="100" w:firstLine="240"/>
              <w:rPr>
                <w:rFonts w:asciiTheme="minorEastAsia" w:hAnsiTheme="minorEastAsia"/>
                <w:sz w:val="24"/>
                <w:szCs w:val="24"/>
              </w:rPr>
            </w:pPr>
          </w:p>
        </w:tc>
      </w:tr>
      <w:tr w:rsidR="00972EF4" w14:paraId="7DD0BC03" w14:textId="77777777" w:rsidTr="00C2318E">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5F6881E" w14:textId="77777777" w:rsidR="00972EF4" w:rsidRDefault="00972EF4" w:rsidP="00C2318E">
            <w:pPr>
              <w:spacing w:line="400" w:lineRule="atLeast"/>
              <w:jc w:val="left"/>
              <w:rPr>
                <w:rFonts w:asciiTheme="minorEastAsia" w:hAnsiTheme="minorEastAsia"/>
                <w:sz w:val="24"/>
                <w:szCs w:val="24"/>
              </w:rPr>
            </w:pPr>
            <w:r>
              <w:rPr>
                <w:rFonts w:asciiTheme="minorEastAsia" w:hAnsiTheme="minorEastAsia" w:hint="eastAsia"/>
                <w:sz w:val="24"/>
                <w:szCs w:val="24"/>
              </w:rPr>
              <w:t>前事業年度の減価償却費</w:t>
            </w:r>
          </w:p>
        </w:tc>
      </w:tr>
      <w:tr w:rsidR="00972EF4" w:rsidRPr="0096735C" w14:paraId="501F1DA4" w14:textId="77777777" w:rsidTr="00C2318E">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4BC9CC7B" w14:textId="77777777" w:rsidR="00972EF4" w:rsidRPr="0096735C" w:rsidRDefault="00972EF4" w:rsidP="00C2318E">
            <w:pPr>
              <w:spacing w:line="400" w:lineRule="atLeast"/>
              <w:rPr>
                <w:rFonts w:asciiTheme="minorEastAsia" w:hAnsiTheme="minorEastAsia"/>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7B65B3C" w14:textId="77777777" w:rsidR="00972EF4" w:rsidRPr="00B27B0E" w:rsidRDefault="00972EF4" w:rsidP="00C2318E">
            <w:pPr>
              <w:spacing w:line="400" w:lineRule="atLeast"/>
              <w:rPr>
                <w:rFonts w:asciiTheme="minorEastAsia" w:hAnsiTheme="minorEastAsia"/>
                <w:color w:val="000000" w:themeColor="text1"/>
                <w:sz w:val="24"/>
                <w:szCs w:val="24"/>
              </w:rPr>
            </w:pPr>
            <w:r w:rsidRPr="00B27B0E">
              <w:rPr>
                <w:rFonts w:asciiTheme="minorEastAsia" w:hAnsiTheme="minorEastAsia" w:hint="eastAsia"/>
                <w:color w:val="000000" w:themeColor="text1"/>
                <w:sz w:val="24"/>
                <w:szCs w:val="24"/>
              </w:rPr>
              <w:t>対象事業者が連結会社以外の場合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9D6CA63" w14:textId="77777777" w:rsidR="00972EF4" w:rsidRPr="0096735C"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972EF4" w14:paraId="11E0A62F" w14:textId="77777777" w:rsidTr="00C2318E">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54C10913" w14:textId="77777777" w:rsidR="00972EF4" w:rsidRPr="0096735C" w:rsidRDefault="00972EF4" w:rsidP="00C2318E">
            <w:pPr>
              <w:spacing w:line="400" w:lineRule="atLeast"/>
              <w:rPr>
                <w:rFonts w:asciiTheme="minorEastAsia" w:hAnsiTheme="minorEastAsia"/>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0C85F858" w14:textId="77777777" w:rsidR="00972EF4" w:rsidRPr="00B27B0E" w:rsidRDefault="00972EF4" w:rsidP="00C2318E">
            <w:pPr>
              <w:spacing w:line="400" w:lineRule="atLeast"/>
              <w:rPr>
                <w:rFonts w:asciiTheme="minorEastAsia" w:hAnsiTheme="minorEastAsia"/>
                <w:color w:val="000000" w:themeColor="text1"/>
                <w:sz w:val="24"/>
                <w:szCs w:val="24"/>
              </w:rPr>
            </w:pPr>
            <w:r w:rsidRPr="00B27B0E">
              <w:rPr>
                <w:rFonts w:asciiTheme="minorEastAsia" w:hAnsiTheme="minorEastAsia" w:hint="eastAsia"/>
                <w:color w:val="000000" w:themeColor="text1"/>
                <w:sz w:val="24"/>
                <w:szCs w:val="24"/>
              </w:rPr>
              <w:t>対象事業者が連結会社の場合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A9504AA" w14:textId="77777777" w:rsidR="00972EF4"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3BA7EF3B" w14:textId="77777777" w:rsidTr="00C2318E">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03EE"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C27BDC5" w14:textId="77777777" w:rsidR="00972EF4" w:rsidRPr="0096735C"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bl>
    <w:bookmarkEnd w:id="1"/>
    <w:p w14:paraId="34917AE8" w14:textId="77777777" w:rsidR="00972EF4" w:rsidRPr="0096735C"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減価償却費の根拠となる財務諸表等</w:t>
      </w:r>
      <w:bookmarkStart w:id="2" w:name="_Hlk130237593"/>
      <w:r>
        <w:rPr>
          <w:rFonts w:asciiTheme="minorEastAsia" w:hAnsiTheme="minorEastAsia" w:hint="eastAsia"/>
          <w:sz w:val="24"/>
          <w:szCs w:val="24"/>
        </w:rPr>
        <w:t>又は連結財務諸表等</w:t>
      </w:r>
      <w:bookmarkEnd w:id="2"/>
      <w:r w:rsidRPr="0096735C">
        <w:rPr>
          <w:rFonts w:asciiTheme="minorEastAsia" w:hAnsiTheme="minorEastAsia" w:hint="eastAsia"/>
          <w:sz w:val="24"/>
          <w:szCs w:val="24"/>
        </w:rPr>
        <w:t>を添付すること。</w:t>
      </w:r>
    </w:p>
    <w:p w14:paraId="4C24F344"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対象事業者が複数の場合には、事業者毎に欄を作成すること。</w:t>
      </w:r>
    </w:p>
    <w:p w14:paraId="40956181" w14:textId="77777777" w:rsidR="00972EF4" w:rsidRDefault="00972EF4" w:rsidP="00972EF4">
      <w:pPr>
        <w:spacing w:line="400" w:lineRule="atLeast"/>
        <w:ind w:leftChars="100" w:left="450" w:hangingChars="100" w:hanging="240"/>
        <w:rPr>
          <w:rFonts w:asciiTheme="minorEastAsia" w:hAnsiTheme="minorEastAsia"/>
          <w:sz w:val="24"/>
          <w:szCs w:val="24"/>
        </w:rPr>
      </w:pPr>
    </w:p>
    <w:p w14:paraId="3DCA579F" w14:textId="77777777" w:rsidR="00972EF4" w:rsidRDefault="00972EF4" w:rsidP="00972EF4">
      <w:pPr>
        <w:spacing w:line="400" w:lineRule="atLeast"/>
        <w:ind w:leftChars="100" w:left="69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１０</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旧計画がある場合に係る事項</w:t>
      </w:r>
      <w:r w:rsidRPr="0093404B">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972EF4" w:rsidRPr="0096735C" w14:paraId="70BDFFC6" w14:textId="77777777" w:rsidTr="00C2318E">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6904CBA"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8DC2681"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36E7834D" w14:textId="77777777" w:rsidTr="00C2318E">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40A31C3"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623CFCB"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022A9388" w14:textId="77777777" w:rsidTr="00C2318E">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AA4F1AB"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4D81F03"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08ED1BFD" w14:textId="77777777" w:rsidTr="00C2318E">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366A68ED" w14:textId="77777777" w:rsidR="00972EF4" w:rsidRPr="004F1C95"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B481F7F"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B576C04"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lastRenderedPageBreak/>
        <w:t xml:space="preserve">※　</w:t>
      </w:r>
      <w:r>
        <w:rPr>
          <w:rFonts w:asciiTheme="minorEastAsia" w:hAnsiTheme="minorEastAsia" w:hint="eastAsia"/>
          <w:sz w:val="24"/>
          <w:szCs w:val="24"/>
        </w:rPr>
        <w:t>旧計画</w:t>
      </w:r>
      <w:r w:rsidRPr="00533BB5">
        <w:rPr>
          <w:rFonts w:asciiTheme="minorEastAsia" w:hAnsiTheme="minorEastAsia" w:hint="eastAsia"/>
          <w:sz w:val="24"/>
          <w:szCs w:val="24"/>
        </w:rPr>
        <w:t>は、「</w:t>
      </w:r>
      <w:r w:rsidRPr="002B75E8">
        <w:rPr>
          <w:rFonts w:asciiTheme="minorEastAsia" w:hAnsiTheme="minorEastAsia" w:hint="eastAsia"/>
          <w:sz w:val="24"/>
          <w:szCs w:val="24"/>
        </w:rPr>
        <w:t>本確認申請</w:t>
      </w:r>
      <w:r w:rsidRPr="00DF3A9D">
        <w:rPr>
          <w:rFonts w:asciiTheme="minorEastAsia" w:hAnsiTheme="minorEastAsia" w:hint="eastAsia"/>
          <w:sz w:val="24"/>
          <w:szCs w:val="24"/>
        </w:rPr>
        <w:t>に係る対象事業者と同一の者が実施する他の承認地域経済牽引事業計画であって、本確認申請に係る承認地域経済牽引事業計画と同一の都道府県知事又は主務大臣が承認したもの（本確認申請前に</w:t>
      </w:r>
      <w:r w:rsidRPr="002B75E8">
        <w:rPr>
          <w:rFonts w:asciiTheme="minorEastAsia" w:hAnsiTheme="minorEastAsia" w:hint="eastAsia"/>
          <w:sz w:val="24"/>
          <w:szCs w:val="24"/>
        </w:rPr>
        <w:t>当該他の承認地域経済牽引事業計画に係る地域経済牽引事業が法第２５条に基づく主務大臣の確認を受けたものに限る。）</w:t>
      </w:r>
      <w:r w:rsidRPr="00533BB5">
        <w:rPr>
          <w:rFonts w:asciiTheme="minorEastAsia" w:hAnsiTheme="minorEastAsia" w:hint="eastAsia"/>
          <w:sz w:val="24"/>
          <w:szCs w:val="24"/>
        </w:rPr>
        <w:t>」とする。</w:t>
      </w:r>
    </w:p>
    <w:p w14:paraId="33D78449"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t>※　投資年度</w:t>
      </w:r>
      <w:r>
        <w:rPr>
          <w:rFonts w:asciiTheme="minorEastAsia" w:hAnsiTheme="minorEastAsia" w:hint="eastAsia"/>
          <w:sz w:val="24"/>
          <w:szCs w:val="24"/>
        </w:rPr>
        <w:t>は、「減価償却資産を事業の用に供した日の</w:t>
      </w:r>
      <w:r w:rsidRPr="00533BB5">
        <w:rPr>
          <w:rFonts w:asciiTheme="minorEastAsia" w:hAnsiTheme="minorEastAsia" w:hint="eastAsia"/>
          <w:sz w:val="24"/>
          <w:szCs w:val="24"/>
        </w:rPr>
        <w:t>属する事業年度」とする。</w:t>
      </w:r>
    </w:p>
    <w:p w14:paraId="6DFAAC26" w14:textId="77777777" w:rsidR="00972EF4"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44AB2085"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Pr="00E84A5C">
        <w:rPr>
          <w:rFonts w:asciiTheme="minorEastAsia" w:hAnsiTheme="minorEastAsia" w:hint="eastAsia"/>
          <w:sz w:val="24"/>
          <w:szCs w:val="24"/>
        </w:rPr>
        <w:t>上記の労働生産性の伸び</w:t>
      </w:r>
      <w:r>
        <w:rPr>
          <w:rFonts w:asciiTheme="minorEastAsia" w:hAnsiTheme="minorEastAsia" w:hint="eastAsia"/>
          <w:sz w:val="24"/>
          <w:szCs w:val="24"/>
        </w:rPr>
        <w:t>率</w:t>
      </w:r>
      <w:r w:rsidRPr="00E84A5C">
        <w:rPr>
          <w:rFonts w:asciiTheme="minorEastAsia" w:hAnsiTheme="minorEastAsia" w:hint="eastAsia"/>
          <w:sz w:val="24"/>
          <w:szCs w:val="24"/>
        </w:rPr>
        <w:t>及び投資収益率の算定期間</w:t>
      </w:r>
      <w:r>
        <w:rPr>
          <w:rFonts w:asciiTheme="minorEastAsia" w:hAnsiTheme="minorEastAsia" w:hint="eastAsia"/>
          <w:sz w:val="24"/>
          <w:szCs w:val="24"/>
        </w:rPr>
        <w:t>が</w:t>
      </w:r>
      <w:r w:rsidRPr="00E84A5C">
        <w:rPr>
          <w:rFonts w:asciiTheme="minorEastAsia" w:hAnsiTheme="minorEastAsia" w:hint="eastAsia"/>
          <w:sz w:val="24"/>
          <w:szCs w:val="24"/>
        </w:rPr>
        <w:t>、</w:t>
      </w:r>
      <w:r w:rsidRPr="003A3FAB">
        <w:rPr>
          <w:rFonts w:asciiTheme="minorEastAsia" w:hAnsiTheme="minorEastAsia" w:hint="eastAsia"/>
          <w:sz w:val="24"/>
          <w:szCs w:val="24"/>
        </w:rPr>
        <w:t>５事業年度に満たない場合は、直近事業年度まで</w:t>
      </w:r>
      <w:r>
        <w:rPr>
          <w:rFonts w:asciiTheme="minorEastAsia" w:hAnsiTheme="minorEastAsia" w:hint="eastAsia"/>
          <w:sz w:val="24"/>
          <w:szCs w:val="24"/>
        </w:rPr>
        <w:t>の間について算定することとする</w:t>
      </w:r>
      <w:r w:rsidRPr="003A3FAB">
        <w:rPr>
          <w:rFonts w:asciiTheme="minorEastAsia" w:hAnsiTheme="minorEastAsia" w:hint="eastAsia"/>
          <w:sz w:val="24"/>
          <w:szCs w:val="24"/>
        </w:rPr>
        <w:t>。</w:t>
      </w:r>
    </w:p>
    <w:p w14:paraId="740B6BC0" w14:textId="77777777" w:rsidR="00972EF4" w:rsidRDefault="00972EF4" w:rsidP="00972EF4">
      <w:pPr>
        <w:spacing w:line="400" w:lineRule="atLeast"/>
        <w:ind w:leftChars="100" w:left="450" w:hangingChars="100" w:hanging="240"/>
        <w:rPr>
          <w:rFonts w:asciiTheme="minorEastAsia" w:hAnsiTheme="minorEastAsia"/>
          <w:sz w:val="24"/>
          <w:szCs w:val="24"/>
        </w:rPr>
      </w:pPr>
    </w:p>
    <w:p w14:paraId="753191FE" w14:textId="77777777" w:rsidR="00972EF4" w:rsidRPr="003A6A60" w:rsidRDefault="00972EF4" w:rsidP="00972EF4">
      <w:pPr>
        <w:spacing w:line="400" w:lineRule="atLeast"/>
        <w:ind w:leftChars="88" w:left="425" w:hangingChars="100" w:hanging="240"/>
        <w:rPr>
          <w:rFonts w:asciiTheme="majorEastAsia" w:eastAsiaTheme="majorEastAsia" w:hAnsiTheme="majorEastAsia"/>
          <w:b/>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b/>
          <w:sz w:val="24"/>
          <w:szCs w:val="24"/>
        </w:rPr>
        <w:t xml:space="preserve">　</w:t>
      </w:r>
      <w:r w:rsidRPr="00B27B0E">
        <w:rPr>
          <w:rFonts w:asciiTheme="majorEastAsia" w:eastAsiaTheme="majorEastAsia" w:hAnsiTheme="majorEastAsia" w:hint="eastAsia"/>
          <w:sz w:val="24"/>
          <w:szCs w:val="24"/>
          <w:u w:val="single"/>
        </w:rPr>
        <w:t>当該承認地域経済牽引事業に係る計画承認日が平成３１年４月１日以後であるものであって、</w:t>
      </w:r>
      <w:r w:rsidRPr="004A44DB">
        <w:rPr>
          <w:rFonts w:asciiTheme="majorEastAsia" w:eastAsiaTheme="majorEastAsia" w:hAnsiTheme="majorEastAsia" w:hint="eastAsia"/>
          <w:sz w:val="24"/>
          <w:szCs w:val="24"/>
          <w:u w:val="single"/>
        </w:rPr>
        <w:t>対象事業が地域の成長発展の基盤強化に著しく資するものに該当する</w:t>
      </w:r>
      <w:r>
        <w:rPr>
          <w:rFonts w:asciiTheme="majorEastAsia" w:eastAsiaTheme="majorEastAsia" w:hAnsiTheme="majorEastAsia" w:hint="eastAsia"/>
          <w:sz w:val="24"/>
          <w:szCs w:val="24"/>
          <w:u w:val="single"/>
        </w:rPr>
        <w:t>ものとして、確認申請を行う</w:t>
      </w:r>
      <w:r w:rsidRPr="004A44DB">
        <w:rPr>
          <w:rFonts w:asciiTheme="majorEastAsia" w:eastAsiaTheme="majorEastAsia" w:hAnsiTheme="majorEastAsia" w:hint="eastAsia"/>
          <w:sz w:val="24"/>
          <w:szCs w:val="24"/>
          <w:u w:val="single"/>
        </w:rPr>
        <w:t>場合</w:t>
      </w:r>
      <w:r>
        <w:rPr>
          <w:rFonts w:asciiTheme="majorEastAsia" w:eastAsiaTheme="majorEastAsia" w:hAnsiTheme="majorEastAsia" w:hint="eastAsia"/>
          <w:sz w:val="24"/>
          <w:szCs w:val="24"/>
          <w:u w:val="single"/>
        </w:rPr>
        <w:t>のみ</w:t>
      </w:r>
      <w:r w:rsidRPr="004A44DB">
        <w:rPr>
          <w:rFonts w:asciiTheme="majorEastAsia" w:eastAsiaTheme="majorEastAsia" w:hAnsiTheme="majorEastAsia" w:hint="eastAsia"/>
          <w:sz w:val="24"/>
          <w:szCs w:val="24"/>
          <w:u w:val="single"/>
        </w:rPr>
        <w:t>、以下</w:t>
      </w:r>
      <w:r>
        <w:rPr>
          <w:rFonts w:asciiTheme="majorEastAsia" w:eastAsiaTheme="majorEastAsia" w:hAnsiTheme="majorEastAsia" w:hint="eastAsia"/>
          <w:sz w:val="24"/>
          <w:szCs w:val="24"/>
          <w:u w:val="single"/>
        </w:rPr>
        <w:t>の１１及び１２</w:t>
      </w:r>
      <w:r w:rsidRPr="004A44DB">
        <w:rPr>
          <w:rFonts w:asciiTheme="majorEastAsia" w:eastAsiaTheme="majorEastAsia" w:hAnsiTheme="majorEastAsia" w:hint="eastAsia"/>
          <w:sz w:val="24"/>
          <w:szCs w:val="24"/>
          <w:u w:val="single"/>
        </w:rPr>
        <w:t>を記載すること。</w:t>
      </w:r>
    </w:p>
    <w:p w14:paraId="09BAB72F" w14:textId="77777777" w:rsidR="00972EF4" w:rsidRPr="004A44DB" w:rsidRDefault="00972EF4" w:rsidP="00972EF4">
      <w:pPr>
        <w:spacing w:line="400" w:lineRule="atLeast"/>
        <w:ind w:left="241" w:hangingChars="100" w:hanging="241"/>
        <w:rPr>
          <w:rFonts w:asciiTheme="majorEastAsia" w:eastAsiaTheme="majorEastAsia" w:hAnsiTheme="majorEastAsia"/>
          <w:b/>
          <w:sz w:val="24"/>
          <w:szCs w:val="24"/>
        </w:rPr>
      </w:pPr>
    </w:p>
    <w:p w14:paraId="5B124DEE" w14:textId="77777777" w:rsidR="00972EF4" w:rsidRDefault="00972EF4" w:rsidP="00972EF4">
      <w:pPr>
        <w:spacing w:line="400" w:lineRule="atLeast"/>
        <w:ind w:leftChars="-135" w:left="-283"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１１　</w:t>
      </w:r>
      <w:bookmarkStart w:id="3" w:name="_Hlk130237709"/>
      <w:r>
        <w:rPr>
          <w:rFonts w:asciiTheme="majorEastAsia" w:eastAsiaTheme="majorEastAsia" w:hAnsiTheme="majorEastAsia" w:hint="eastAsia"/>
          <w:sz w:val="24"/>
          <w:szCs w:val="24"/>
        </w:rPr>
        <w:t>以下の（１）又は（２）のいずれかを記載すること</w:t>
      </w:r>
    </w:p>
    <w:p w14:paraId="684484B7" w14:textId="77777777" w:rsidR="00972EF4" w:rsidRPr="0039596E" w:rsidRDefault="00972EF4" w:rsidP="00972EF4">
      <w:pPr>
        <w:spacing w:line="400" w:lineRule="atLeast"/>
        <w:ind w:leftChars="-135" w:left="-283" w:firstLineChars="200" w:firstLine="480"/>
        <w:rPr>
          <w:rFonts w:asciiTheme="majorEastAsia" w:eastAsiaTheme="majorEastAsia" w:hAnsiTheme="majorEastAsia"/>
          <w:sz w:val="24"/>
          <w:szCs w:val="24"/>
        </w:rPr>
      </w:pPr>
      <w:bookmarkStart w:id="4" w:name="_Hlk130237712"/>
      <w:bookmarkEnd w:id="3"/>
      <w:r>
        <w:rPr>
          <w:rFonts w:asciiTheme="majorEastAsia" w:eastAsiaTheme="majorEastAsia" w:hAnsiTheme="majorEastAsia" w:hint="eastAsia"/>
          <w:sz w:val="24"/>
          <w:szCs w:val="24"/>
        </w:rPr>
        <w:t>（１）</w:t>
      </w:r>
      <w:bookmarkEnd w:id="4"/>
      <w:r>
        <w:rPr>
          <w:rFonts w:asciiTheme="majorEastAsia" w:eastAsiaTheme="majorEastAsia" w:hAnsiTheme="majorEastAsia" w:hint="eastAsia"/>
          <w:sz w:val="24"/>
          <w:szCs w:val="24"/>
        </w:rPr>
        <w:t>対象事業</w:t>
      </w:r>
      <w:r w:rsidRPr="0039596E">
        <w:rPr>
          <w:rFonts w:asciiTheme="majorEastAsia" w:eastAsiaTheme="majorEastAsia" w:hAnsiTheme="majorEastAsia" w:hint="eastAsia"/>
          <w:sz w:val="24"/>
          <w:szCs w:val="24"/>
        </w:rPr>
        <w:t>者の付加価値額</w:t>
      </w:r>
      <w:r>
        <w:rPr>
          <w:rFonts w:asciiTheme="majorEastAsia" w:eastAsiaTheme="majorEastAsia" w:hAnsiTheme="majorEastAsia" w:hint="eastAsia"/>
          <w:sz w:val="24"/>
          <w:szCs w:val="24"/>
        </w:rPr>
        <w:t>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9"/>
        <w:gridCol w:w="3076"/>
      </w:tblGrid>
      <w:tr w:rsidR="00972EF4" w:rsidRPr="0096735C" w14:paraId="0A61DA2E" w14:textId="77777777" w:rsidTr="00C2318E">
        <w:trPr>
          <w:trHeight w:val="73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7A457D8"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CABA81"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0E59240F" w14:textId="77777777" w:rsidTr="00C2318E">
        <w:trPr>
          <w:trHeight w:val="70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6FBDF17"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7AA6106"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21044E57" w14:textId="77777777" w:rsidTr="00C2318E">
        <w:trPr>
          <w:trHeight w:val="82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CC9171D"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w:t>
            </w:r>
            <w:r>
              <w:rPr>
                <w:rFonts w:asciiTheme="minorEastAsia" w:hAnsiTheme="minorEastAsia" w:hint="eastAsia"/>
                <w:sz w:val="24"/>
                <w:szCs w:val="24"/>
              </w:rPr>
              <w:t>前々事業年度の付加価値</w:t>
            </w:r>
            <w:r w:rsidRPr="0096735C">
              <w:rPr>
                <w:rFonts w:asciiTheme="minorEastAsia" w:hAnsiTheme="minorEastAsia" w:hint="eastAsia"/>
                <w:sz w:val="24"/>
                <w:szCs w:val="24"/>
              </w:rPr>
              <w:t>額</w:t>
            </w:r>
            <w:r>
              <w:rPr>
                <w:rFonts w:asciiTheme="minorEastAsia" w:hAnsiTheme="minorEastAsia" w:hint="eastAsia"/>
                <w:sz w:val="24"/>
                <w:szCs w:val="24"/>
              </w:rPr>
              <w:t>・・・Ｂ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8867D6"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4CEBDE35" w14:textId="77777777" w:rsidTr="00C2318E">
        <w:trPr>
          <w:trHeight w:val="8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3E3207"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1208E4"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FB866C2"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w:t>
      </w:r>
      <w:r w:rsidRPr="0096735C">
        <w:rPr>
          <w:rFonts w:asciiTheme="minorEastAsia" w:hAnsiTheme="minorEastAsia" w:hint="eastAsia"/>
          <w:sz w:val="24"/>
          <w:szCs w:val="24"/>
        </w:rPr>
        <w:t>の根拠となる財務諸表等を添付すること。</w:t>
      </w:r>
    </w:p>
    <w:p w14:paraId="304AC93D" w14:textId="77777777" w:rsidR="00972EF4" w:rsidRDefault="00972EF4" w:rsidP="00972EF4">
      <w:pPr>
        <w:widowControl/>
        <w:spacing w:line="400" w:lineRule="atLeast"/>
        <w:ind w:leftChars="100" w:left="450" w:hangingChars="100" w:hanging="240"/>
        <w:jc w:val="left"/>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w:t>
      </w:r>
      <w:r>
        <w:rPr>
          <w:rFonts w:asciiTheme="minorEastAsia" w:hAnsiTheme="minorEastAsia" w:hint="eastAsia"/>
          <w:sz w:val="24"/>
          <w:szCs w:val="24"/>
        </w:rPr>
        <w:t>すること。</w:t>
      </w:r>
    </w:p>
    <w:p w14:paraId="4016FBCE" w14:textId="511592F8" w:rsidR="00972EF4" w:rsidRDefault="00972EF4" w:rsidP="00972EF4">
      <w:pPr>
        <w:widowControl/>
        <w:spacing w:line="400" w:lineRule="atLeast"/>
        <w:ind w:leftChars="100" w:left="450" w:hangingChars="100" w:hanging="240"/>
        <w:jc w:val="left"/>
        <w:rPr>
          <w:rFonts w:asciiTheme="minorEastAsia" w:hAnsiTheme="minorEastAsia"/>
          <w:sz w:val="24"/>
          <w:szCs w:val="24"/>
        </w:rPr>
      </w:pPr>
    </w:p>
    <w:p w14:paraId="78C1EE2E" w14:textId="77777777" w:rsidR="00EE5181" w:rsidRDefault="00EE5181" w:rsidP="00972EF4">
      <w:pPr>
        <w:widowControl/>
        <w:spacing w:line="400" w:lineRule="atLeast"/>
        <w:ind w:leftChars="100" w:left="450" w:hangingChars="100" w:hanging="240"/>
        <w:jc w:val="left"/>
        <w:rPr>
          <w:rFonts w:asciiTheme="minorEastAsia" w:hAnsiTheme="minorEastAsia"/>
          <w:sz w:val="24"/>
          <w:szCs w:val="24"/>
        </w:rPr>
      </w:pPr>
    </w:p>
    <w:p w14:paraId="4CC6F516" w14:textId="77777777" w:rsidR="00972EF4" w:rsidRPr="00026493" w:rsidRDefault="00972EF4" w:rsidP="00972EF4">
      <w:pPr>
        <w:spacing w:line="400" w:lineRule="atLeast"/>
        <w:ind w:leftChars="100" w:left="450" w:hangingChars="100" w:hanging="240"/>
        <w:rPr>
          <w:rFonts w:asciiTheme="majorEastAsia" w:eastAsiaTheme="majorEastAsia" w:hAnsiTheme="majorEastAsia"/>
          <w:sz w:val="24"/>
          <w:szCs w:val="24"/>
        </w:rPr>
      </w:pPr>
      <w:bookmarkStart w:id="5" w:name="_Hlk130237721"/>
      <w:r w:rsidRPr="00026493">
        <w:rPr>
          <w:rFonts w:asciiTheme="majorEastAsia" w:eastAsiaTheme="majorEastAsia" w:hAnsiTheme="majorEastAsia" w:hint="eastAsia"/>
          <w:sz w:val="24"/>
          <w:szCs w:val="24"/>
        </w:rPr>
        <w:t>（２）対象事業者の平均付加価値額および承認地域経済牽引事業に係る付加価値創出額</w:t>
      </w:r>
    </w:p>
    <w:p w14:paraId="07B53260" w14:textId="77777777" w:rsidR="00972EF4" w:rsidRDefault="00972EF4" w:rsidP="00972EF4">
      <w:pPr>
        <w:spacing w:line="400" w:lineRule="atLeast"/>
        <w:ind w:leftChars="200" w:left="420"/>
        <w:rPr>
          <w:rFonts w:asciiTheme="minorEastAsia" w:hAnsiTheme="minorEastAsia"/>
          <w:sz w:val="24"/>
          <w:szCs w:val="24"/>
        </w:rPr>
      </w:pPr>
      <w:r w:rsidRPr="009F0D47">
        <w:rPr>
          <w:rFonts w:asciiTheme="majorEastAsia" w:eastAsiaTheme="majorEastAsia" w:hAnsiTheme="majorEastAsia" w:hint="eastAsia"/>
          <w:sz w:val="24"/>
          <w:szCs w:val="24"/>
          <w:u w:val="single"/>
        </w:rPr>
        <w:t>（当該承認地域経済牽引事業に係る計画承認日が令和５年４月１日以後である場合）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9"/>
        <w:gridCol w:w="3076"/>
      </w:tblGrid>
      <w:tr w:rsidR="00972EF4" w:rsidRPr="0096735C" w14:paraId="7C84A4FC"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D5A3722"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1901FE47"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0F385AB5"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07BA446C"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対象事業者の前事業年度の付加価値額・・・Ａ</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FDF93DE"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51619B69"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7FFC87EC"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lastRenderedPageBreak/>
              <w:t>対象事業者の</w:t>
            </w:r>
            <w:r>
              <w:rPr>
                <w:rFonts w:asciiTheme="minorEastAsia" w:hAnsiTheme="minorEastAsia" w:hint="eastAsia"/>
                <w:sz w:val="24"/>
                <w:szCs w:val="24"/>
              </w:rPr>
              <w:t>前々事業年度の付加価値</w:t>
            </w:r>
            <w:r w:rsidRPr="0096735C">
              <w:rPr>
                <w:rFonts w:asciiTheme="minorEastAsia" w:hAnsiTheme="minorEastAsia" w:hint="eastAsia"/>
                <w:sz w:val="24"/>
                <w:szCs w:val="24"/>
              </w:rPr>
              <w:t>額</w:t>
            </w:r>
            <w:r>
              <w:rPr>
                <w:rFonts w:asciiTheme="minorEastAsia" w:hAnsiTheme="minorEastAsia" w:hint="eastAsia"/>
                <w:sz w:val="24"/>
                <w:szCs w:val="24"/>
              </w:rPr>
              <w:t>・・・Ｂ</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15F77574"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0A0EA9AB"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2893F4CC"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平均付加価値額・・・（Ａ＋Ｂ）／２</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4F22EDEE"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823109" w14:paraId="560127B6"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F8FAF4E" w14:textId="77777777" w:rsidR="00972EF4" w:rsidRPr="0096402D" w:rsidRDefault="00972EF4" w:rsidP="00C2318E">
            <w:pPr>
              <w:spacing w:line="400" w:lineRule="atLeast"/>
              <w:rPr>
                <w:rFonts w:asciiTheme="minorEastAsia" w:hAnsiTheme="minorEastAsia"/>
                <w:sz w:val="24"/>
                <w:szCs w:val="24"/>
              </w:rPr>
            </w:pPr>
            <w:r w:rsidRPr="0096402D">
              <w:rPr>
                <w:rFonts w:asciiTheme="minorEastAsia" w:hAnsiTheme="minorEastAsia" w:hint="eastAsia"/>
                <w:sz w:val="24"/>
                <w:szCs w:val="24"/>
              </w:rPr>
              <w:t>承認地域経済牽引事業に係る付加価値創出額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7645274A" w14:textId="77777777" w:rsidR="00972EF4" w:rsidRPr="0096402D" w:rsidRDefault="00972EF4" w:rsidP="00C2318E">
            <w:pPr>
              <w:spacing w:line="400" w:lineRule="atLeast"/>
              <w:jc w:val="right"/>
              <w:rPr>
                <w:rFonts w:asciiTheme="minorEastAsia" w:hAnsiTheme="minorEastAsia"/>
                <w:sz w:val="24"/>
                <w:szCs w:val="24"/>
              </w:rPr>
            </w:pPr>
            <w:r w:rsidRPr="0096402D">
              <w:rPr>
                <w:rFonts w:asciiTheme="minorEastAsia" w:hAnsiTheme="minorEastAsia" w:hint="eastAsia"/>
                <w:sz w:val="24"/>
                <w:szCs w:val="24"/>
              </w:rPr>
              <w:t>（円）</w:t>
            </w:r>
          </w:p>
        </w:tc>
      </w:tr>
    </w:tbl>
    <w:p w14:paraId="2F878F9E" w14:textId="77777777" w:rsidR="00795FA6" w:rsidRDefault="00972EF4" w:rsidP="00795FA6">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w:t>
      </w:r>
      <w:r w:rsidRPr="0096735C">
        <w:rPr>
          <w:rFonts w:asciiTheme="minorEastAsia" w:hAnsiTheme="minorEastAsia" w:hint="eastAsia"/>
          <w:sz w:val="24"/>
          <w:szCs w:val="24"/>
        </w:rPr>
        <w:t>の根拠となる財務諸表等を添付すること。</w:t>
      </w:r>
    </w:p>
    <w:p w14:paraId="6636F481" w14:textId="5E92975C" w:rsidR="00972EF4" w:rsidRPr="00795FA6" w:rsidRDefault="00795FA6" w:rsidP="00795FA6">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承認地域経済牽引事業計画に記載されている付加価値創出額を記載すること。</w:t>
      </w:r>
    </w:p>
    <w:p w14:paraId="654ED88B"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w:t>
      </w:r>
      <w:r>
        <w:rPr>
          <w:rFonts w:asciiTheme="minorEastAsia" w:hAnsiTheme="minorEastAsia" w:hint="eastAsia"/>
          <w:sz w:val="24"/>
          <w:szCs w:val="24"/>
        </w:rPr>
        <w:t>すること。</w:t>
      </w:r>
    </w:p>
    <w:bookmarkEnd w:id="5"/>
    <w:p w14:paraId="1CD64AFA" w14:textId="77777777" w:rsidR="00972EF4" w:rsidRPr="0096402D" w:rsidRDefault="00972EF4" w:rsidP="00972EF4">
      <w:pPr>
        <w:widowControl/>
        <w:spacing w:line="400" w:lineRule="atLeast"/>
        <w:ind w:leftChars="100" w:left="450" w:hangingChars="100" w:hanging="240"/>
        <w:jc w:val="left"/>
        <w:rPr>
          <w:rFonts w:asciiTheme="minorEastAsia" w:hAnsiTheme="minorEastAsia"/>
          <w:sz w:val="24"/>
          <w:szCs w:val="24"/>
        </w:rPr>
      </w:pPr>
    </w:p>
    <w:p w14:paraId="640723AC" w14:textId="77777777" w:rsidR="00972EF4"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１２　</w:t>
      </w:r>
      <w:r w:rsidRPr="0096735C">
        <w:rPr>
          <w:rFonts w:asciiTheme="majorEastAsia" w:eastAsiaTheme="majorEastAsia" w:hAnsiTheme="majorEastAsia" w:hint="eastAsia"/>
          <w:sz w:val="24"/>
          <w:szCs w:val="21"/>
        </w:rPr>
        <w:t>承認地域経済牽引事業</w:t>
      </w:r>
      <w:r>
        <w:rPr>
          <w:rFonts w:asciiTheme="majorEastAsia" w:eastAsiaTheme="majorEastAsia" w:hAnsiTheme="majorEastAsia" w:hint="eastAsia"/>
          <w:sz w:val="24"/>
          <w:szCs w:val="21"/>
        </w:rPr>
        <w:t>に係る労働生産性の伸び率及び投資収益率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972EF4" w:rsidRPr="0096735C" w14:paraId="0391985A" w14:textId="77777777" w:rsidTr="00C2318E">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00F068F0"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投資年度以降</w:t>
            </w:r>
            <w:r w:rsidRPr="004F1C95">
              <w:rPr>
                <w:rFonts w:asciiTheme="minorEastAsia" w:hAnsiTheme="minorEastAsia" w:hint="eastAsia"/>
                <w:sz w:val="24"/>
                <w:szCs w:val="24"/>
              </w:rPr>
              <w:t>の５事業年度</w:t>
            </w:r>
            <w:r>
              <w:rPr>
                <w:rFonts w:asciiTheme="minorEastAsia" w:hAnsiTheme="minorEastAsia" w:hint="eastAsia"/>
                <w:sz w:val="24"/>
                <w:szCs w:val="24"/>
              </w:rPr>
              <w:t xml:space="preserve">の労働生産性の伸び率の平均値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F65E6F"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 xml:space="preserve">（％）　　　　</w:t>
            </w:r>
          </w:p>
        </w:tc>
      </w:tr>
      <w:tr w:rsidR="00972EF4" w:rsidRPr="0096735C" w14:paraId="3E7FAA13" w14:textId="77777777" w:rsidTr="00C2318E">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038E7360" w14:textId="77777777" w:rsidR="00972EF4"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の翌事業年度以降の５事業年度</w:t>
            </w:r>
            <w:r>
              <w:rPr>
                <w:rFonts w:asciiTheme="minorEastAsia" w:hAnsiTheme="minorEastAsia" w:hint="eastAsia"/>
                <w:sz w:val="24"/>
                <w:szCs w:val="24"/>
              </w:rPr>
              <w:t xml:space="preserve">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ECEE53" w14:textId="77777777" w:rsidR="00972EF4"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42AC7AC6"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Pr="004F1C95">
        <w:rPr>
          <w:rFonts w:asciiTheme="minorEastAsia" w:hAnsiTheme="minorEastAsia" w:hint="eastAsia"/>
          <w:sz w:val="24"/>
          <w:szCs w:val="24"/>
        </w:rPr>
        <w:t>属する事業年度</w:t>
      </w:r>
      <w:r>
        <w:rPr>
          <w:rFonts w:asciiTheme="minorEastAsia" w:hAnsiTheme="minorEastAsia" w:hint="eastAsia"/>
          <w:sz w:val="24"/>
          <w:szCs w:val="24"/>
        </w:rPr>
        <w:t>」とする。</w:t>
      </w:r>
    </w:p>
    <w:p w14:paraId="7E515850" w14:textId="422C095B" w:rsidR="00972EF4" w:rsidRDefault="00972EF4" w:rsidP="005E442C">
      <w:pPr>
        <w:spacing w:line="400" w:lineRule="atLeast"/>
        <w:ind w:leftChars="100" w:left="690" w:hangingChars="200" w:hanging="480"/>
        <w:rPr>
          <w:rFonts w:asciiTheme="minorEastAsia" w:hAnsiTheme="minorEastAsia" w:hint="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bookmarkStart w:id="6" w:name="_GoBack"/>
      <w:bookmarkEnd w:id="6"/>
    </w:p>
    <w:sectPr w:rsidR="00972EF4" w:rsidSect="00DF7953">
      <w:footerReference w:type="default" r:id="rId11"/>
      <w:pgSz w:w="11906" w:h="16838"/>
      <w:pgMar w:top="1440" w:right="1080" w:bottom="1134" w:left="1080" w:header="851" w:footer="73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9813D" w14:textId="77777777" w:rsidR="001878F4" w:rsidRDefault="001878F4" w:rsidP="003C0825">
      <w:r>
        <w:separator/>
      </w:r>
    </w:p>
  </w:endnote>
  <w:endnote w:type="continuationSeparator" w:id="0">
    <w:p w14:paraId="256FEB8A" w14:textId="77777777" w:rsidR="001878F4" w:rsidRDefault="001878F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672850"/>
      <w:docPartObj>
        <w:docPartGallery w:val="Page Numbers (Bottom of Page)"/>
        <w:docPartUnique/>
      </w:docPartObj>
    </w:sdtPr>
    <w:sdtEndPr/>
    <w:sdtContent>
      <w:p w14:paraId="65846781" w14:textId="499F91A5" w:rsidR="00D9010E" w:rsidRDefault="00D9010E">
        <w:pPr>
          <w:pStyle w:val="a5"/>
          <w:jc w:val="center"/>
        </w:pPr>
        <w:r>
          <w:fldChar w:fldCharType="begin"/>
        </w:r>
        <w:r>
          <w:instrText>PAGE   \* MERGEFORMAT</w:instrText>
        </w:r>
        <w:r>
          <w:fldChar w:fldCharType="separate"/>
        </w:r>
        <w:r w:rsidR="005E442C" w:rsidRPr="005E442C">
          <w:rPr>
            <w:noProof/>
            <w:lang w:val="ja-JP"/>
          </w:rPr>
          <w:t>5</w:t>
        </w:r>
        <w:r>
          <w:fldChar w:fldCharType="end"/>
        </w:r>
      </w:p>
    </w:sdtContent>
  </w:sdt>
  <w:p w14:paraId="2383AACA" w14:textId="77777777" w:rsidR="00D9010E" w:rsidRDefault="00D9010E"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D7DED" w14:textId="77777777" w:rsidR="001878F4" w:rsidRDefault="001878F4" w:rsidP="003C0825">
      <w:r>
        <w:separator/>
      </w:r>
    </w:p>
  </w:footnote>
  <w:footnote w:type="continuationSeparator" w:id="0">
    <w:p w14:paraId="574B77BF" w14:textId="77777777" w:rsidR="001878F4" w:rsidRDefault="001878F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7"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5"/>
  </w:num>
  <w:num w:numId="3">
    <w:abstractNumId w:val="30"/>
  </w:num>
  <w:num w:numId="4">
    <w:abstractNumId w:val="28"/>
  </w:num>
  <w:num w:numId="5">
    <w:abstractNumId w:val="14"/>
  </w:num>
  <w:num w:numId="6">
    <w:abstractNumId w:val="22"/>
  </w:num>
  <w:num w:numId="7">
    <w:abstractNumId w:val="31"/>
  </w:num>
  <w:num w:numId="8">
    <w:abstractNumId w:val="29"/>
  </w:num>
  <w:num w:numId="9">
    <w:abstractNumId w:val="24"/>
  </w:num>
  <w:num w:numId="10">
    <w:abstractNumId w:val="16"/>
  </w:num>
  <w:num w:numId="11">
    <w:abstractNumId w:val="0"/>
  </w:num>
  <w:num w:numId="12">
    <w:abstractNumId w:val="9"/>
  </w:num>
  <w:num w:numId="13">
    <w:abstractNumId w:val="21"/>
  </w:num>
  <w:num w:numId="14">
    <w:abstractNumId w:val="12"/>
  </w:num>
  <w:num w:numId="15">
    <w:abstractNumId w:val="10"/>
  </w:num>
  <w:num w:numId="16">
    <w:abstractNumId w:val="2"/>
  </w:num>
  <w:num w:numId="17">
    <w:abstractNumId w:val="33"/>
  </w:num>
  <w:num w:numId="18">
    <w:abstractNumId w:val="1"/>
  </w:num>
  <w:num w:numId="19">
    <w:abstractNumId w:val="13"/>
  </w:num>
  <w:num w:numId="20">
    <w:abstractNumId w:val="26"/>
  </w:num>
  <w:num w:numId="21">
    <w:abstractNumId w:val="37"/>
  </w:num>
  <w:num w:numId="22">
    <w:abstractNumId w:val="5"/>
  </w:num>
  <w:num w:numId="23">
    <w:abstractNumId w:val="4"/>
  </w:num>
  <w:num w:numId="24">
    <w:abstractNumId w:val="8"/>
  </w:num>
  <w:num w:numId="25">
    <w:abstractNumId w:val="6"/>
  </w:num>
  <w:num w:numId="26">
    <w:abstractNumId w:val="3"/>
  </w:num>
  <w:num w:numId="27">
    <w:abstractNumId w:val="34"/>
  </w:num>
  <w:num w:numId="28">
    <w:abstractNumId w:val="23"/>
  </w:num>
  <w:num w:numId="29">
    <w:abstractNumId w:val="11"/>
  </w:num>
  <w:num w:numId="30">
    <w:abstractNumId w:val="35"/>
  </w:num>
  <w:num w:numId="31">
    <w:abstractNumId w:val="19"/>
  </w:num>
  <w:num w:numId="32">
    <w:abstractNumId w:val="20"/>
  </w:num>
  <w:num w:numId="33">
    <w:abstractNumId w:val="18"/>
  </w:num>
  <w:num w:numId="34">
    <w:abstractNumId w:val="17"/>
  </w:num>
  <w:num w:numId="35">
    <w:abstractNumId w:val="25"/>
  </w:num>
  <w:num w:numId="36">
    <w:abstractNumId w:val="27"/>
  </w:num>
  <w:num w:numId="37">
    <w:abstractNumId w:val="36"/>
  </w:num>
  <w:num w:numId="38">
    <w:abstractNumId w:val="38"/>
  </w:num>
  <w:num w:numId="39">
    <w:abstractNumId w:val="39"/>
  </w:num>
  <w:num w:numId="4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BC6"/>
    <w:rsid w:val="00000F6F"/>
    <w:rsid w:val="000012E9"/>
    <w:rsid w:val="000018E5"/>
    <w:rsid w:val="00002A46"/>
    <w:rsid w:val="00003A2F"/>
    <w:rsid w:val="00006161"/>
    <w:rsid w:val="00006E49"/>
    <w:rsid w:val="00011110"/>
    <w:rsid w:val="00011AC7"/>
    <w:rsid w:val="000122EA"/>
    <w:rsid w:val="00013686"/>
    <w:rsid w:val="00013F7F"/>
    <w:rsid w:val="00015AFC"/>
    <w:rsid w:val="0001624F"/>
    <w:rsid w:val="0002086C"/>
    <w:rsid w:val="00021B4D"/>
    <w:rsid w:val="0002268D"/>
    <w:rsid w:val="0002430A"/>
    <w:rsid w:val="00026AE3"/>
    <w:rsid w:val="000273BC"/>
    <w:rsid w:val="000346EA"/>
    <w:rsid w:val="0003582D"/>
    <w:rsid w:val="00035DC8"/>
    <w:rsid w:val="000411E3"/>
    <w:rsid w:val="00041210"/>
    <w:rsid w:val="0004418B"/>
    <w:rsid w:val="00045302"/>
    <w:rsid w:val="00045705"/>
    <w:rsid w:val="000469F6"/>
    <w:rsid w:val="000502C3"/>
    <w:rsid w:val="00050960"/>
    <w:rsid w:val="00050AAF"/>
    <w:rsid w:val="00050EA2"/>
    <w:rsid w:val="0005170A"/>
    <w:rsid w:val="00051FDB"/>
    <w:rsid w:val="00052A14"/>
    <w:rsid w:val="000538DD"/>
    <w:rsid w:val="0005402C"/>
    <w:rsid w:val="0005429C"/>
    <w:rsid w:val="00055F1D"/>
    <w:rsid w:val="00057A3D"/>
    <w:rsid w:val="0006239B"/>
    <w:rsid w:val="00063F3C"/>
    <w:rsid w:val="000657F6"/>
    <w:rsid w:val="000658B5"/>
    <w:rsid w:val="00065CDB"/>
    <w:rsid w:val="00065F64"/>
    <w:rsid w:val="000704CD"/>
    <w:rsid w:val="0007070F"/>
    <w:rsid w:val="0007146E"/>
    <w:rsid w:val="000750C2"/>
    <w:rsid w:val="000778D3"/>
    <w:rsid w:val="00077BA7"/>
    <w:rsid w:val="00085C2F"/>
    <w:rsid w:val="000861D0"/>
    <w:rsid w:val="00086D17"/>
    <w:rsid w:val="00093ABB"/>
    <w:rsid w:val="00095781"/>
    <w:rsid w:val="00096128"/>
    <w:rsid w:val="00096E23"/>
    <w:rsid w:val="000979B0"/>
    <w:rsid w:val="000A0D36"/>
    <w:rsid w:val="000A188D"/>
    <w:rsid w:val="000A7E5F"/>
    <w:rsid w:val="000B05C1"/>
    <w:rsid w:val="000B290C"/>
    <w:rsid w:val="000B30D2"/>
    <w:rsid w:val="000B3255"/>
    <w:rsid w:val="000B4B7F"/>
    <w:rsid w:val="000B58AD"/>
    <w:rsid w:val="000B6549"/>
    <w:rsid w:val="000C265A"/>
    <w:rsid w:val="000C5DF4"/>
    <w:rsid w:val="000C7443"/>
    <w:rsid w:val="000D2990"/>
    <w:rsid w:val="000D2B66"/>
    <w:rsid w:val="000D72A4"/>
    <w:rsid w:val="000E10AF"/>
    <w:rsid w:val="000E1AFE"/>
    <w:rsid w:val="000E27C8"/>
    <w:rsid w:val="000E4B8A"/>
    <w:rsid w:val="000E6938"/>
    <w:rsid w:val="000F2079"/>
    <w:rsid w:val="000F66C3"/>
    <w:rsid w:val="001029C5"/>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6988"/>
    <w:rsid w:val="001324E7"/>
    <w:rsid w:val="00132B2C"/>
    <w:rsid w:val="001331D2"/>
    <w:rsid w:val="001343AC"/>
    <w:rsid w:val="001360FE"/>
    <w:rsid w:val="001363F8"/>
    <w:rsid w:val="00137DF5"/>
    <w:rsid w:val="00140F49"/>
    <w:rsid w:val="00143CF4"/>
    <w:rsid w:val="00143EBE"/>
    <w:rsid w:val="00143F07"/>
    <w:rsid w:val="00144913"/>
    <w:rsid w:val="00150E31"/>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7E8E"/>
    <w:rsid w:val="00170346"/>
    <w:rsid w:val="00170468"/>
    <w:rsid w:val="00170528"/>
    <w:rsid w:val="00171CD4"/>
    <w:rsid w:val="0017257B"/>
    <w:rsid w:val="001744FB"/>
    <w:rsid w:val="001755CD"/>
    <w:rsid w:val="00175FFB"/>
    <w:rsid w:val="0017683C"/>
    <w:rsid w:val="00176DF8"/>
    <w:rsid w:val="00177B95"/>
    <w:rsid w:val="00180B8B"/>
    <w:rsid w:val="00181DDA"/>
    <w:rsid w:val="0018409B"/>
    <w:rsid w:val="00184F43"/>
    <w:rsid w:val="001860BF"/>
    <w:rsid w:val="001878F4"/>
    <w:rsid w:val="00190F0D"/>
    <w:rsid w:val="0019109C"/>
    <w:rsid w:val="0019431E"/>
    <w:rsid w:val="00195E9C"/>
    <w:rsid w:val="00196D20"/>
    <w:rsid w:val="001A01A1"/>
    <w:rsid w:val="001A0651"/>
    <w:rsid w:val="001A0F62"/>
    <w:rsid w:val="001A1CE6"/>
    <w:rsid w:val="001A59E5"/>
    <w:rsid w:val="001A72C4"/>
    <w:rsid w:val="001B36B1"/>
    <w:rsid w:val="001B4609"/>
    <w:rsid w:val="001B4871"/>
    <w:rsid w:val="001B54AE"/>
    <w:rsid w:val="001B713A"/>
    <w:rsid w:val="001C3C89"/>
    <w:rsid w:val="001C50F5"/>
    <w:rsid w:val="001D044D"/>
    <w:rsid w:val="001D1B84"/>
    <w:rsid w:val="001D3507"/>
    <w:rsid w:val="001D60A3"/>
    <w:rsid w:val="001D667A"/>
    <w:rsid w:val="001D6ED6"/>
    <w:rsid w:val="001D7181"/>
    <w:rsid w:val="001E04CB"/>
    <w:rsid w:val="001E78A8"/>
    <w:rsid w:val="001F02E0"/>
    <w:rsid w:val="001F2220"/>
    <w:rsid w:val="001F255D"/>
    <w:rsid w:val="001F291F"/>
    <w:rsid w:val="001F346A"/>
    <w:rsid w:val="001F3800"/>
    <w:rsid w:val="001F51BC"/>
    <w:rsid w:val="001F58DE"/>
    <w:rsid w:val="001F5D8F"/>
    <w:rsid w:val="001F7582"/>
    <w:rsid w:val="00200097"/>
    <w:rsid w:val="0020037A"/>
    <w:rsid w:val="002016F6"/>
    <w:rsid w:val="002034EB"/>
    <w:rsid w:val="00203753"/>
    <w:rsid w:val="00205553"/>
    <w:rsid w:val="002070F2"/>
    <w:rsid w:val="0020794E"/>
    <w:rsid w:val="002107DB"/>
    <w:rsid w:val="00210D3E"/>
    <w:rsid w:val="00211FB3"/>
    <w:rsid w:val="002135DE"/>
    <w:rsid w:val="00213961"/>
    <w:rsid w:val="002155F1"/>
    <w:rsid w:val="00215776"/>
    <w:rsid w:val="0021591A"/>
    <w:rsid w:val="00216E9A"/>
    <w:rsid w:val="0021767E"/>
    <w:rsid w:val="0022068E"/>
    <w:rsid w:val="0022455B"/>
    <w:rsid w:val="00224EBE"/>
    <w:rsid w:val="00226AC7"/>
    <w:rsid w:val="00226B44"/>
    <w:rsid w:val="00227869"/>
    <w:rsid w:val="0023089E"/>
    <w:rsid w:val="00231372"/>
    <w:rsid w:val="002339C9"/>
    <w:rsid w:val="00233F93"/>
    <w:rsid w:val="0023457E"/>
    <w:rsid w:val="00241A5E"/>
    <w:rsid w:val="0024267A"/>
    <w:rsid w:val="0024576D"/>
    <w:rsid w:val="002461FB"/>
    <w:rsid w:val="0024699C"/>
    <w:rsid w:val="00251480"/>
    <w:rsid w:val="00252517"/>
    <w:rsid w:val="00253D16"/>
    <w:rsid w:val="00254152"/>
    <w:rsid w:val="00256C9C"/>
    <w:rsid w:val="00256ED2"/>
    <w:rsid w:val="002572BD"/>
    <w:rsid w:val="00260537"/>
    <w:rsid w:val="00260961"/>
    <w:rsid w:val="0026176B"/>
    <w:rsid w:val="002623FB"/>
    <w:rsid w:val="00262FA6"/>
    <w:rsid w:val="00270420"/>
    <w:rsid w:val="002704FB"/>
    <w:rsid w:val="002759B6"/>
    <w:rsid w:val="00276D8A"/>
    <w:rsid w:val="00276F74"/>
    <w:rsid w:val="00277BC3"/>
    <w:rsid w:val="00277F56"/>
    <w:rsid w:val="00280499"/>
    <w:rsid w:val="00283392"/>
    <w:rsid w:val="00283E0E"/>
    <w:rsid w:val="00290C59"/>
    <w:rsid w:val="0029116D"/>
    <w:rsid w:val="00291885"/>
    <w:rsid w:val="00294874"/>
    <w:rsid w:val="002A11FB"/>
    <w:rsid w:val="002A18B1"/>
    <w:rsid w:val="002A2D08"/>
    <w:rsid w:val="002A43AF"/>
    <w:rsid w:val="002A4472"/>
    <w:rsid w:val="002B224A"/>
    <w:rsid w:val="002B5F46"/>
    <w:rsid w:val="002B5FF0"/>
    <w:rsid w:val="002C288B"/>
    <w:rsid w:val="002C2AD8"/>
    <w:rsid w:val="002C2F25"/>
    <w:rsid w:val="002C3F95"/>
    <w:rsid w:val="002C4CB2"/>
    <w:rsid w:val="002C7937"/>
    <w:rsid w:val="002C79D5"/>
    <w:rsid w:val="002D03FF"/>
    <w:rsid w:val="002D0933"/>
    <w:rsid w:val="002D184A"/>
    <w:rsid w:val="002D6116"/>
    <w:rsid w:val="002D679D"/>
    <w:rsid w:val="002D6C1F"/>
    <w:rsid w:val="002D7807"/>
    <w:rsid w:val="002E1D19"/>
    <w:rsid w:val="002E2AAC"/>
    <w:rsid w:val="002E2B58"/>
    <w:rsid w:val="002E425B"/>
    <w:rsid w:val="002E55F7"/>
    <w:rsid w:val="002E5809"/>
    <w:rsid w:val="002E6BAE"/>
    <w:rsid w:val="002E6C9A"/>
    <w:rsid w:val="002E7F55"/>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296A"/>
    <w:rsid w:val="00333739"/>
    <w:rsid w:val="0033385E"/>
    <w:rsid w:val="003408EC"/>
    <w:rsid w:val="003420EA"/>
    <w:rsid w:val="003421FD"/>
    <w:rsid w:val="003447C5"/>
    <w:rsid w:val="00345800"/>
    <w:rsid w:val="00345A75"/>
    <w:rsid w:val="003518CC"/>
    <w:rsid w:val="003538F9"/>
    <w:rsid w:val="00354399"/>
    <w:rsid w:val="00355AC1"/>
    <w:rsid w:val="00356B37"/>
    <w:rsid w:val="00356B85"/>
    <w:rsid w:val="00357B41"/>
    <w:rsid w:val="00357C64"/>
    <w:rsid w:val="00360B00"/>
    <w:rsid w:val="0036393A"/>
    <w:rsid w:val="00365130"/>
    <w:rsid w:val="0036539E"/>
    <w:rsid w:val="003673AD"/>
    <w:rsid w:val="00367BE2"/>
    <w:rsid w:val="00367CA0"/>
    <w:rsid w:val="00367E29"/>
    <w:rsid w:val="00371646"/>
    <w:rsid w:val="00372F16"/>
    <w:rsid w:val="00373F5A"/>
    <w:rsid w:val="00374463"/>
    <w:rsid w:val="00374C44"/>
    <w:rsid w:val="00375DE8"/>
    <w:rsid w:val="00380287"/>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4F0E"/>
    <w:rsid w:val="003C56C1"/>
    <w:rsid w:val="003D0A42"/>
    <w:rsid w:val="003D23D8"/>
    <w:rsid w:val="003D2E07"/>
    <w:rsid w:val="003D6189"/>
    <w:rsid w:val="003D6B66"/>
    <w:rsid w:val="003D716D"/>
    <w:rsid w:val="003D77A1"/>
    <w:rsid w:val="003E0424"/>
    <w:rsid w:val="003E0E26"/>
    <w:rsid w:val="003E1087"/>
    <w:rsid w:val="003E2940"/>
    <w:rsid w:val="003E6EDE"/>
    <w:rsid w:val="003E72C9"/>
    <w:rsid w:val="003F0581"/>
    <w:rsid w:val="003F220E"/>
    <w:rsid w:val="003F2462"/>
    <w:rsid w:val="003F25A1"/>
    <w:rsid w:val="003F3CBC"/>
    <w:rsid w:val="003F3D59"/>
    <w:rsid w:val="003F4119"/>
    <w:rsid w:val="003F741C"/>
    <w:rsid w:val="004013E4"/>
    <w:rsid w:val="004027DF"/>
    <w:rsid w:val="00407810"/>
    <w:rsid w:val="00410212"/>
    <w:rsid w:val="00410D50"/>
    <w:rsid w:val="00411426"/>
    <w:rsid w:val="00414D48"/>
    <w:rsid w:val="00415721"/>
    <w:rsid w:val="0042456D"/>
    <w:rsid w:val="00430A70"/>
    <w:rsid w:val="00436BF7"/>
    <w:rsid w:val="00440343"/>
    <w:rsid w:val="00440EC4"/>
    <w:rsid w:val="00440F79"/>
    <w:rsid w:val="0044292E"/>
    <w:rsid w:val="00442BA8"/>
    <w:rsid w:val="00443E46"/>
    <w:rsid w:val="00445C4D"/>
    <w:rsid w:val="00447150"/>
    <w:rsid w:val="00447E10"/>
    <w:rsid w:val="0045297C"/>
    <w:rsid w:val="00453B66"/>
    <w:rsid w:val="00455F7C"/>
    <w:rsid w:val="0045737B"/>
    <w:rsid w:val="004610F4"/>
    <w:rsid w:val="00462032"/>
    <w:rsid w:val="00462317"/>
    <w:rsid w:val="004640FF"/>
    <w:rsid w:val="00464327"/>
    <w:rsid w:val="00466EAB"/>
    <w:rsid w:val="00470411"/>
    <w:rsid w:val="00471628"/>
    <w:rsid w:val="004716CB"/>
    <w:rsid w:val="00471970"/>
    <w:rsid w:val="00473603"/>
    <w:rsid w:val="00474713"/>
    <w:rsid w:val="004750F8"/>
    <w:rsid w:val="00476021"/>
    <w:rsid w:val="004761EB"/>
    <w:rsid w:val="00476C8D"/>
    <w:rsid w:val="00481F1E"/>
    <w:rsid w:val="004823A8"/>
    <w:rsid w:val="00482F33"/>
    <w:rsid w:val="00483BB1"/>
    <w:rsid w:val="00483E2D"/>
    <w:rsid w:val="004854D0"/>
    <w:rsid w:val="0048636B"/>
    <w:rsid w:val="00487F0D"/>
    <w:rsid w:val="00487FF9"/>
    <w:rsid w:val="004906DB"/>
    <w:rsid w:val="00493C57"/>
    <w:rsid w:val="00493DCE"/>
    <w:rsid w:val="00493F1E"/>
    <w:rsid w:val="00495BEB"/>
    <w:rsid w:val="004965DB"/>
    <w:rsid w:val="004A4066"/>
    <w:rsid w:val="004A447D"/>
    <w:rsid w:val="004A451F"/>
    <w:rsid w:val="004A6AC9"/>
    <w:rsid w:val="004A6DE6"/>
    <w:rsid w:val="004B12D8"/>
    <w:rsid w:val="004B1CF4"/>
    <w:rsid w:val="004B1F48"/>
    <w:rsid w:val="004B38E5"/>
    <w:rsid w:val="004B5E34"/>
    <w:rsid w:val="004B726B"/>
    <w:rsid w:val="004C0161"/>
    <w:rsid w:val="004C23A3"/>
    <w:rsid w:val="004C4B51"/>
    <w:rsid w:val="004C535D"/>
    <w:rsid w:val="004C5988"/>
    <w:rsid w:val="004C71D1"/>
    <w:rsid w:val="004D2B7D"/>
    <w:rsid w:val="004D36C4"/>
    <w:rsid w:val="004D4DCE"/>
    <w:rsid w:val="004D70CE"/>
    <w:rsid w:val="004E22B4"/>
    <w:rsid w:val="004E2F19"/>
    <w:rsid w:val="004E3EC7"/>
    <w:rsid w:val="004E5677"/>
    <w:rsid w:val="004E75C4"/>
    <w:rsid w:val="004E7734"/>
    <w:rsid w:val="004E787F"/>
    <w:rsid w:val="004F29EF"/>
    <w:rsid w:val="004F2D94"/>
    <w:rsid w:val="004F5455"/>
    <w:rsid w:val="005018C6"/>
    <w:rsid w:val="00502BAE"/>
    <w:rsid w:val="005031F8"/>
    <w:rsid w:val="00503629"/>
    <w:rsid w:val="00505C1F"/>
    <w:rsid w:val="00510959"/>
    <w:rsid w:val="00511670"/>
    <w:rsid w:val="00514621"/>
    <w:rsid w:val="005170B8"/>
    <w:rsid w:val="00520D42"/>
    <w:rsid w:val="00521798"/>
    <w:rsid w:val="00521966"/>
    <w:rsid w:val="005233EE"/>
    <w:rsid w:val="00523614"/>
    <w:rsid w:val="00523EEF"/>
    <w:rsid w:val="00524E05"/>
    <w:rsid w:val="005257F2"/>
    <w:rsid w:val="00526534"/>
    <w:rsid w:val="005270DA"/>
    <w:rsid w:val="00527E59"/>
    <w:rsid w:val="00530611"/>
    <w:rsid w:val="00530959"/>
    <w:rsid w:val="00532EE6"/>
    <w:rsid w:val="00532FFD"/>
    <w:rsid w:val="00535C84"/>
    <w:rsid w:val="0054372D"/>
    <w:rsid w:val="0054381C"/>
    <w:rsid w:val="00543B6E"/>
    <w:rsid w:val="00551AEC"/>
    <w:rsid w:val="00553BE1"/>
    <w:rsid w:val="00553CC8"/>
    <w:rsid w:val="00557A79"/>
    <w:rsid w:val="00560A99"/>
    <w:rsid w:val="00560C50"/>
    <w:rsid w:val="0056119E"/>
    <w:rsid w:val="00561D60"/>
    <w:rsid w:val="0056201E"/>
    <w:rsid w:val="0056424E"/>
    <w:rsid w:val="0056483C"/>
    <w:rsid w:val="00566806"/>
    <w:rsid w:val="00570BA0"/>
    <w:rsid w:val="005731CF"/>
    <w:rsid w:val="00573D1B"/>
    <w:rsid w:val="005745EA"/>
    <w:rsid w:val="00574956"/>
    <w:rsid w:val="00574A83"/>
    <w:rsid w:val="00576BFD"/>
    <w:rsid w:val="005805BE"/>
    <w:rsid w:val="0058169B"/>
    <w:rsid w:val="00582961"/>
    <w:rsid w:val="00582D86"/>
    <w:rsid w:val="00585119"/>
    <w:rsid w:val="005870DA"/>
    <w:rsid w:val="0058777A"/>
    <w:rsid w:val="00590A9B"/>
    <w:rsid w:val="005920B7"/>
    <w:rsid w:val="00593C25"/>
    <w:rsid w:val="005945FF"/>
    <w:rsid w:val="00594FAE"/>
    <w:rsid w:val="005A2654"/>
    <w:rsid w:val="005A2F34"/>
    <w:rsid w:val="005A50AB"/>
    <w:rsid w:val="005A7111"/>
    <w:rsid w:val="005A7ECF"/>
    <w:rsid w:val="005B02B0"/>
    <w:rsid w:val="005B13D3"/>
    <w:rsid w:val="005B1944"/>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42C"/>
    <w:rsid w:val="005E4979"/>
    <w:rsid w:val="005E4DBE"/>
    <w:rsid w:val="005E542A"/>
    <w:rsid w:val="005F024D"/>
    <w:rsid w:val="005F23F0"/>
    <w:rsid w:val="005F2692"/>
    <w:rsid w:val="005F5FD1"/>
    <w:rsid w:val="005F74AE"/>
    <w:rsid w:val="00600042"/>
    <w:rsid w:val="00600CA9"/>
    <w:rsid w:val="0060349F"/>
    <w:rsid w:val="00603562"/>
    <w:rsid w:val="00605BDD"/>
    <w:rsid w:val="00606E86"/>
    <w:rsid w:val="00611A83"/>
    <w:rsid w:val="00612020"/>
    <w:rsid w:val="006125E0"/>
    <w:rsid w:val="00612A74"/>
    <w:rsid w:val="00615090"/>
    <w:rsid w:val="00615B61"/>
    <w:rsid w:val="0061740A"/>
    <w:rsid w:val="006179B8"/>
    <w:rsid w:val="006228B4"/>
    <w:rsid w:val="0062635F"/>
    <w:rsid w:val="00627AC9"/>
    <w:rsid w:val="00631118"/>
    <w:rsid w:val="00632FA0"/>
    <w:rsid w:val="00633481"/>
    <w:rsid w:val="0063453F"/>
    <w:rsid w:val="006349A4"/>
    <w:rsid w:val="00636065"/>
    <w:rsid w:val="0063672D"/>
    <w:rsid w:val="00636EA5"/>
    <w:rsid w:val="0063782C"/>
    <w:rsid w:val="00640EC6"/>
    <w:rsid w:val="00641038"/>
    <w:rsid w:val="00641E53"/>
    <w:rsid w:val="00643925"/>
    <w:rsid w:val="00644AC5"/>
    <w:rsid w:val="006452A6"/>
    <w:rsid w:val="00645FFC"/>
    <w:rsid w:val="00650274"/>
    <w:rsid w:val="0065185A"/>
    <w:rsid w:val="00651CA5"/>
    <w:rsid w:val="00651CEA"/>
    <w:rsid w:val="006526B0"/>
    <w:rsid w:val="00654F71"/>
    <w:rsid w:val="00655A2D"/>
    <w:rsid w:val="006623E6"/>
    <w:rsid w:val="00662428"/>
    <w:rsid w:val="0066272D"/>
    <w:rsid w:val="006649F2"/>
    <w:rsid w:val="006650CB"/>
    <w:rsid w:val="00666FEB"/>
    <w:rsid w:val="00667B3D"/>
    <w:rsid w:val="00667C6F"/>
    <w:rsid w:val="0067066A"/>
    <w:rsid w:val="00672535"/>
    <w:rsid w:val="006726E6"/>
    <w:rsid w:val="006726FB"/>
    <w:rsid w:val="00672768"/>
    <w:rsid w:val="00673460"/>
    <w:rsid w:val="0067390C"/>
    <w:rsid w:val="00673A3A"/>
    <w:rsid w:val="00674BF7"/>
    <w:rsid w:val="00675F3F"/>
    <w:rsid w:val="00677B6F"/>
    <w:rsid w:val="00681BBE"/>
    <w:rsid w:val="00682A71"/>
    <w:rsid w:val="00683D1E"/>
    <w:rsid w:val="00683F6C"/>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5966"/>
    <w:rsid w:val="006B61F9"/>
    <w:rsid w:val="006B7080"/>
    <w:rsid w:val="006C1CDC"/>
    <w:rsid w:val="006C2B4A"/>
    <w:rsid w:val="006C4279"/>
    <w:rsid w:val="006C66CB"/>
    <w:rsid w:val="006D066C"/>
    <w:rsid w:val="006D29F7"/>
    <w:rsid w:val="006D34EB"/>
    <w:rsid w:val="006D4A91"/>
    <w:rsid w:val="006D6109"/>
    <w:rsid w:val="006E0C50"/>
    <w:rsid w:val="006E1B7E"/>
    <w:rsid w:val="006E496A"/>
    <w:rsid w:val="006E56D2"/>
    <w:rsid w:val="006E6CB4"/>
    <w:rsid w:val="006F1226"/>
    <w:rsid w:val="006F28D3"/>
    <w:rsid w:val="006F36D0"/>
    <w:rsid w:val="006F7185"/>
    <w:rsid w:val="006F7DA4"/>
    <w:rsid w:val="006F7E28"/>
    <w:rsid w:val="00700BB4"/>
    <w:rsid w:val="00714AA8"/>
    <w:rsid w:val="007157E4"/>
    <w:rsid w:val="00716ADA"/>
    <w:rsid w:val="00716C04"/>
    <w:rsid w:val="007174B6"/>
    <w:rsid w:val="00720023"/>
    <w:rsid w:val="00725771"/>
    <w:rsid w:val="00725A40"/>
    <w:rsid w:val="00726F61"/>
    <w:rsid w:val="007279B9"/>
    <w:rsid w:val="00733202"/>
    <w:rsid w:val="0073378A"/>
    <w:rsid w:val="00735DF2"/>
    <w:rsid w:val="00735FF1"/>
    <w:rsid w:val="00737776"/>
    <w:rsid w:val="00741098"/>
    <w:rsid w:val="007425A9"/>
    <w:rsid w:val="00745860"/>
    <w:rsid w:val="00746525"/>
    <w:rsid w:val="0075045C"/>
    <w:rsid w:val="00750FFF"/>
    <w:rsid w:val="00753014"/>
    <w:rsid w:val="00753EA9"/>
    <w:rsid w:val="007626BC"/>
    <w:rsid w:val="007633AC"/>
    <w:rsid w:val="0076593E"/>
    <w:rsid w:val="007677EF"/>
    <w:rsid w:val="00767C8D"/>
    <w:rsid w:val="00771277"/>
    <w:rsid w:val="007719C9"/>
    <w:rsid w:val="00771BA1"/>
    <w:rsid w:val="00771ED2"/>
    <w:rsid w:val="007742AC"/>
    <w:rsid w:val="00774C62"/>
    <w:rsid w:val="00775374"/>
    <w:rsid w:val="007757F7"/>
    <w:rsid w:val="007764B8"/>
    <w:rsid w:val="00780FE9"/>
    <w:rsid w:val="00782868"/>
    <w:rsid w:val="00782CE3"/>
    <w:rsid w:val="00785676"/>
    <w:rsid w:val="00787E5B"/>
    <w:rsid w:val="00790ADE"/>
    <w:rsid w:val="007949EA"/>
    <w:rsid w:val="00795FA6"/>
    <w:rsid w:val="007967F4"/>
    <w:rsid w:val="007A126B"/>
    <w:rsid w:val="007A3EC3"/>
    <w:rsid w:val="007A4FA7"/>
    <w:rsid w:val="007A557D"/>
    <w:rsid w:val="007A5672"/>
    <w:rsid w:val="007A5DE5"/>
    <w:rsid w:val="007A6CB2"/>
    <w:rsid w:val="007A7124"/>
    <w:rsid w:val="007B0775"/>
    <w:rsid w:val="007B1EDC"/>
    <w:rsid w:val="007B29E7"/>
    <w:rsid w:val="007B3B8D"/>
    <w:rsid w:val="007B3CDB"/>
    <w:rsid w:val="007B5DE3"/>
    <w:rsid w:val="007B7389"/>
    <w:rsid w:val="007C0140"/>
    <w:rsid w:val="007C1675"/>
    <w:rsid w:val="007C1BDA"/>
    <w:rsid w:val="007C52BD"/>
    <w:rsid w:val="007C709A"/>
    <w:rsid w:val="007D33C1"/>
    <w:rsid w:val="007D6550"/>
    <w:rsid w:val="007D6B4E"/>
    <w:rsid w:val="007E25AB"/>
    <w:rsid w:val="007F1087"/>
    <w:rsid w:val="007F4038"/>
    <w:rsid w:val="007F5913"/>
    <w:rsid w:val="007F6B0E"/>
    <w:rsid w:val="007F6C9B"/>
    <w:rsid w:val="00800983"/>
    <w:rsid w:val="0080733C"/>
    <w:rsid w:val="0080763B"/>
    <w:rsid w:val="00813303"/>
    <w:rsid w:val="00813415"/>
    <w:rsid w:val="00813A9F"/>
    <w:rsid w:val="00814431"/>
    <w:rsid w:val="0081549C"/>
    <w:rsid w:val="008166C0"/>
    <w:rsid w:val="0082101C"/>
    <w:rsid w:val="00821487"/>
    <w:rsid w:val="008223CC"/>
    <w:rsid w:val="00824857"/>
    <w:rsid w:val="00825B6A"/>
    <w:rsid w:val="00827FC2"/>
    <w:rsid w:val="00835577"/>
    <w:rsid w:val="0083576C"/>
    <w:rsid w:val="00837F2F"/>
    <w:rsid w:val="00844B3E"/>
    <w:rsid w:val="00845FB5"/>
    <w:rsid w:val="00846E68"/>
    <w:rsid w:val="008473E5"/>
    <w:rsid w:val="0084776E"/>
    <w:rsid w:val="00850152"/>
    <w:rsid w:val="00851A96"/>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76363"/>
    <w:rsid w:val="00880578"/>
    <w:rsid w:val="0088230D"/>
    <w:rsid w:val="008834BD"/>
    <w:rsid w:val="00886050"/>
    <w:rsid w:val="00886D37"/>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392F"/>
    <w:rsid w:val="008E4A4A"/>
    <w:rsid w:val="008F1738"/>
    <w:rsid w:val="008F32CA"/>
    <w:rsid w:val="008F4122"/>
    <w:rsid w:val="008F55B0"/>
    <w:rsid w:val="00901264"/>
    <w:rsid w:val="009033CA"/>
    <w:rsid w:val="00903572"/>
    <w:rsid w:val="0090389F"/>
    <w:rsid w:val="0090550F"/>
    <w:rsid w:val="00905EE8"/>
    <w:rsid w:val="00906AC2"/>
    <w:rsid w:val="009077F6"/>
    <w:rsid w:val="00911A40"/>
    <w:rsid w:val="00911FC8"/>
    <w:rsid w:val="009132FC"/>
    <w:rsid w:val="0091419D"/>
    <w:rsid w:val="009142B1"/>
    <w:rsid w:val="00921319"/>
    <w:rsid w:val="00921816"/>
    <w:rsid w:val="00921DBB"/>
    <w:rsid w:val="00922916"/>
    <w:rsid w:val="00924ED3"/>
    <w:rsid w:val="00925A3F"/>
    <w:rsid w:val="00926F5C"/>
    <w:rsid w:val="00926FDD"/>
    <w:rsid w:val="00930092"/>
    <w:rsid w:val="00930685"/>
    <w:rsid w:val="009310D5"/>
    <w:rsid w:val="00931D65"/>
    <w:rsid w:val="0093264E"/>
    <w:rsid w:val="009334BA"/>
    <w:rsid w:val="0093502D"/>
    <w:rsid w:val="00935A9F"/>
    <w:rsid w:val="0093613B"/>
    <w:rsid w:val="00937C11"/>
    <w:rsid w:val="00941639"/>
    <w:rsid w:val="00944692"/>
    <w:rsid w:val="00945038"/>
    <w:rsid w:val="0095042C"/>
    <w:rsid w:val="009504E5"/>
    <w:rsid w:val="0095096C"/>
    <w:rsid w:val="009514E7"/>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05C3"/>
    <w:rsid w:val="00971586"/>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F12"/>
    <w:rsid w:val="009A57B1"/>
    <w:rsid w:val="009A5846"/>
    <w:rsid w:val="009A5C16"/>
    <w:rsid w:val="009A71CE"/>
    <w:rsid w:val="009B3DC3"/>
    <w:rsid w:val="009B5ADB"/>
    <w:rsid w:val="009B63D8"/>
    <w:rsid w:val="009B7294"/>
    <w:rsid w:val="009C092F"/>
    <w:rsid w:val="009C1A5D"/>
    <w:rsid w:val="009C587E"/>
    <w:rsid w:val="009D0AA0"/>
    <w:rsid w:val="009D20BA"/>
    <w:rsid w:val="009D4743"/>
    <w:rsid w:val="009D47B3"/>
    <w:rsid w:val="009D5E3F"/>
    <w:rsid w:val="009D608E"/>
    <w:rsid w:val="009E1E96"/>
    <w:rsid w:val="009E2B67"/>
    <w:rsid w:val="009E450F"/>
    <w:rsid w:val="009E4A2B"/>
    <w:rsid w:val="009E5504"/>
    <w:rsid w:val="009E7255"/>
    <w:rsid w:val="009E72CB"/>
    <w:rsid w:val="009F107C"/>
    <w:rsid w:val="009F374C"/>
    <w:rsid w:val="009F3C3C"/>
    <w:rsid w:val="009F4953"/>
    <w:rsid w:val="009F6536"/>
    <w:rsid w:val="009F78A3"/>
    <w:rsid w:val="00A0063D"/>
    <w:rsid w:val="00A03DA3"/>
    <w:rsid w:val="00A06CCC"/>
    <w:rsid w:val="00A079BE"/>
    <w:rsid w:val="00A07EF1"/>
    <w:rsid w:val="00A11CEA"/>
    <w:rsid w:val="00A1325D"/>
    <w:rsid w:val="00A13341"/>
    <w:rsid w:val="00A13856"/>
    <w:rsid w:val="00A13A07"/>
    <w:rsid w:val="00A15A0E"/>
    <w:rsid w:val="00A16AF5"/>
    <w:rsid w:val="00A20C95"/>
    <w:rsid w:val="00A20F25"/>
    <w:rsid w:val="00A21504"/>
    <w:rsid w:val="00A225F2"/>
    <w:rsid w:val="00A22C9A"/>
    <w:rsid w:val="00A2324E"/>
    <w:rsid w:val="00A24786"/>
    <w:rsid w:val="00A315AD"/>
    <w:rsid w:val="00A3268D"/>
    <w:rsid w:val="00A33F3D"/>
    <w:rsid w:val="00A36A95"/>
    <w:rsid w:val="00A373A5"/>
    <w:rsid w:val="00A37B94"/>
    <w:rsid w:val="00A37C85"/>
    <w:rsid w:val="00A41CDC"/>
    <w:rsid w:val="00A42D3D"/>
    <w:rsid w:val="00A43994"/>
    <w:rsid w:val="00A44CFC"/>
    <w:rsid w:val="00A45648"/>
    <w:rsid w:val="00A45C51"/>
    <w:rsid w:val="00A47C27"/>
    <w:rsid w:val="00A52224"/>
    <w:rsid w:val="00A60EAE"/>
    <w:rsid w:val="00A61072"/>
    <w:rsid w:val="00A62694"/>
    <w:rsid w:val="00A62FCD"/>
    <w:rsid w:val="00A64882"/>
    <w:rsid w:val="00A64FDE"/>
    <w:rsid w:val="00A65905"/>
    <w:rsid w:val="00A66BD8"/>
    <w:rsid w:val="00A67014"/>
    <w:rsid w:val="00A70F9A"/>
    <w:rsid w:val="00A711E2"/>
    <w:rsid w:val="00A71755"/>
    <w:rsid w:val="00A721CD"/>
    <w:rsid w:val="00A73321"/>
    <w:rsid w:val="00A736AA"/>
    <w:rsid w:val="00A739A4"/>
    <w:rsid w:val="00A741D3"/>
    <w:rsid w:val="00A751A4"/>
    <w:rsid w:val="00A7678A"/>
    <w:rsid w:val="00A8010F"/>
    <w:rsid w:val="00A81E30"/>
    <w:rsid w:val="00A82B14"/>
    <w:rsid w:val="00A83511"/>
    <w:rsid w:val="00A83569"/>
    <w:rsid w:val="00A86310"/>
    <w:rsid w:val="00A8676E"/>
    <w:rsid w:val="00A8747A"/>
    <w:rsid w:val="00A90D64"/>
    <w:rsid w:val="00A92BA2"/>
    <w:rsid w:val="00A94420"/>
    <w:rsid w:val="00A94D53"/>
    <w:rsid w:val="00A9503A"/>
    <w:rsid w:val="00A9660E"/>
    <w:rsid w:val="00A97D8D"/>
    <w:rsid w:val="00AA117E"/>
    <w:rsid w:val="00AA3A8A"/>
    <w:rsid w:val="00AA3DFC"/>
    <w:rsid w:val="00AA41D2"/>
    <w:rsid w:val="00AB035F"/>
    <w:rsid w:val="00AB1188"/>
    <w:rsid w:val="00AB30DA"/>
    <w:rsid w:val="00AB31B5"/>
    <w:rsid w:val="00AB3A23"/>
    <w:rsid w:val="00AB5F00"/>
    <w:rsid w:val="00AC0946"/>
    <w:rsid w:val="00AC1898"/>
    <w:rsid w:val="00AC1E54"/>
    <w:rsid w:val="00AC3808"/>
    <w:rsid w:val="00AC50BA"/>
    <w:rsid w:val="00AC75EC"/>
    <w:rsid w:val="00AC7E51"/>
    <w:rsid w:val="00AD3836"/>
    <w:rsid w:val="00AD4DEE"/>
    <w:rsid w:val="00AD52CE"/>
    <w:rsid w:val="00AE01B7"/>
    <w:rsid w:val="00AE08E5"/>
    <w:rsid w:val="00AE11E7"/>
    <w:rsid w:val="00AE14DC"/>
    <w:rsid w:val="00AE3808"/>
    <w:rsid w:val="00AE3997"/>
    <w:rsid w:val="00AE651E"/>
    <w:rsid w:val="00AE7219"/>
    <w:rsid w:val="00AF0BD5"/>
    <w:rsid w:val="00AF3BEC"/>
    <w:rsid w:val="00AF4498"/>
    <w:rsid w:val="00AF6319"/>
    <w:rsid w:val="00B00164"/>
    <w:rsid w:val="00B001D9"/>
    <w:rsid w:val="00B014F7"/>
    <w:rsid w:val="00B05515"/>
    <w:rsid w:val="00B064FC"/>
    <w:rsid w:val="00B066F2"/>
    <w:rsid w:val="00B06B19"/>
    <w:rsid w:val="00B07172"/>
    <w:rsid w:val="00B07E02"/>
    <w:rsid w:val="00B10A17"/>
    <w:rsid w:val="00B14BA2"/>
    <w:rsid w:val="00B16C98"/>
    <w:rsid w:val="00B21B5E"/>
    <w:rsid w:val="00B234A1"/>
    <w:rsid w:val="00B23F98"/>
    <w:rsid w:val="00B240D7"/>
    <w:rsid w:val="00B2594E"/>
    <w:rsid w:val="00B26252"/>
    <w:rsid w:val="00B27AD9"/>
    <w:rsid w:val="00B3083B"/>
    <w:rsid w:val="00B30D0D"/>
    <w:rsid w:val="00B31484"/>
    <w:rsid w:val="00B31563"/>
    <w:rsid w:val="00B31ADF"/>
    <w:rsid w:val="00B32D77"/>
    <w:rsid w:val="00B3305A"/>
    <w:rsid w:val="00B35090"/>
    <w:rsid w:val="00B35FAB"/>
    <w:rsid w:val="00B40ED5"/>
    <w:rsid w:val="00B41D6E"/>
    <w:rsid w:val="00B427D4"/>
    <w:rsid w:val="00B43B89"/>
    <w:rsid w:val="00B45827"/>
    <w:rsid w:val="00B464E6"/>
    <w:rsid w:val="00B46D05"/>
    <w:rsid w:val="00B5042E"/>
    <w:rsid w:val="00B50AD5"/>
    <w:rsid w:val="00B50FFB"/>
    <w:rsid w:val="00B529D8"/>
    <w:rsid w:val="00B54B65"/>
    <w:rsid w:val="00B60C41"/>
    <w:rsid w:val="00B60CEC"/>
    <w:rsid w:val="00B60F47"/>
    <w:rsid w:val="00B6106E"/>
    <w:rsid w:val="00B61C34"/>
    <w:rsid w:val="00B62346"/>
    <w:rsid w:val="00B63431"/>
    <w:rsid w:val="00B63827"/>
    <w:rsid w:val="00B639BA"/>
    <w:rsid w:val="00B6534A"/>
    <w:rsid w:val="00B66EBA"/>
    <w:rsid w:val="00B712F2"/>
    <w:rsid w:val="00B719A2"/>
    <w:rsid w:val="00B71BBF"/>
    <w:rsid w:val="00B73963"/>
    <w:rsid w:val="00B808A4"/>
    <w:rsid w:val="00B823E3"/>
    <w:rsid w:val="00B829F1"/>
    <w:rsid w:val="00B8517B"/>
    <w:rsid w:val="00B86555"/>
    <w:rsid w:val="00B87E23"/>
    <w:rsid w:val="00B87FE6"/>
    <w:rsid w:val="00B908C4"/>
    <w:rsid w:val="00B93CBF"/>
    <w:rsid w:val="00B94795"/>
    <w:rsid w:val="00B95C70"/>
    <w:rsid w:val="00BA2B78"/>
    <w:rsid w:val="00BA3606"/>
    <w:rsid w:val="00BA49CA"/>
    <w:rsid w:val="00BA5737"/>
    <w:rsid w:val="00BA678D"/>
    <w:rsid w:val="00BB10D5"/>
    <w:rsid w:val="00BB63DE"/>
    <w:rsid w:val="00BB7706"/>
    <w:rsid w:val="00BC0756"/>
    <w:rsid w:val="00BC196F"/>
    <w:rsid w:val="00BC21E9"/>
    <w:rsid w:val="00BC2C9B"/>
    <w:rsid w:val="00BC488E"/>
    <w:rsid w:val="00BC5475"/>
    <w:rsid w:val="00BC69C1"/>
    <w:rsid w:val="00BD1AEA"/>
    <w:rsid w:val="00BD4D05"/>
    <w:rsid w:val="00BD594E"/>
    <w:rsid w:val="00BD7202"/>
    <w:rsid w:val="00BE0C62"/>
    <w:rsid w:val="00BE0EF1"/>
    <w:rsid w:val="00BE32CD"/>
    <w:rsid w:val="00BE4A01"/>
    <w:rsid w:val="00BE66C6"/>
    <w:rsid w:val="00BE6823"/>
    <w:rsid w:val="00BF2084"/>
    <w:rsid w:val="00BF20E0"/>
    <w:rsid w:val="00BF563A"/>
    <w:rsid w:val="00BF5ADD"/>
    <w:rsid w:val="00BF7CB1"/>
    <w:rsid w:val="00C00402"/>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4F4"/>
    <w:rsid w:val="00C21A48"/>
    <w:rsid w:val="00C23856"/>
    <w:rsid w:val="00C2476A"/>
    <w:rsid w:val="00C24A15"/>
    <w:rsid w:val="00C24F05"/>
    <w:rsid w:val="00C260B1"/>
    <w:rsid w:val="00C27CB3"/>
    <w:rsid w:val="00C30C11"/>
    <w:rsid w:val="00C35D9A"/>
    <w:rsid w:val="00C35E84"/>
    <w:rsid w:val="00C35EDA"/>
    <w:rsid w:val="00C374B9"/>
    <w:rsid w:val="00C420B9"/>
    <w:rsid w:val="00C44671"/>
    <w:rsid w:val="00C44D75"/>
    <w:rsid w:val="00C50224"/>
    <w:rsid w:val="00C5102C"/>
    <w:rsid w:val="00C514E8"/>
    <w:rsid w:val="00C52451"/>
    <w:rsid w:val="00C56648"/>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54F6"/>
    <w:rsid w:val="00CD09A9"/>
    <w:rsid w:val="00CD1341"/>
    <w:rsid w:val="00CD3F22"/>
    <w:rsid w:val="00CD57A0"/>
    <w:rsid w:val="00CD6353"/>
    <w:rsid w:val="00CE1368"/>
    <w:rsid w:val="00CE3555"/>
    <w:rsid w:val="00CE3840"/>
    <w:rsid w:val="00CF0913"/>
    <w:rsid w:val="00CF1614"/>
    <w:rsid w:val="00CF29F9"/>
    <w:rsid w:val="00CF4481"/>
    <w:rsid w:val="00CF47CD"/>
    <w:rsid w:val="00CF638F"/>
    <w:rsid w:val="00CF71EA"/>
    <w:rsid w:val="00D0009F"/>
    <w:rsid w:val="00D007D0"/>
    <w:rsid w:val="00D110AA"/>
    <w:rsid w:val="00D147D5"/>
    <w:rsid w:val="00D21C7C"/>
    <w:rsid w:val="00D2384B"/>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604FB"/>
    <w:rsid w:val="00D6085A"/>
    <w:rsid w:val="00D60A91"/>
    <w:rsid w:val="00D62CE0"/>
    <w:rsid w:val="00D6448C"/>
    <w:rsid w:val="00D66685"/>
    <w:rsid w:val="00D70353"/>
    <w:rsid w:val="00D76537"/>
    <w:rsid w:val="00D7715C"/>
    <w:rsid w:val="00D8229C"/>
    <w:rsid w:val="00D852D2"/>
    <w:rsid w:val="00D9010E"/>
    <w:rsid w:val="00D906E4"/>
    <w:rsid w:val="00D9351C"/>
    <w:rsid w:val="00D949C0"/>
    <w:rsid w:val="00D94CFE"/>
    <w:rsid w:val="00D95290"/>
    <w:rsid w:val="00DA0FDF"/>
    <w:rsid w:val="00DA1774"/>
    <w:rsid w:val="00DA1791"/>
    <w:rsid w:val="00DA2432"/>
    <w:rsid w:val="00DA3432"/>
    <w:rsid w:val="00DA45B6"/>
    <w:rsid w:val="00DA4F01"/>
    <w:rsid w:val="00DB14DF"/>
    <w:rsid w:val="00DB3308"/>
    <w:rsid w:val="00DB4693"/>
    <w:rsid w:val="00DB56F1"/>
    <w:rsid w:val="00DB6F2A"/>
    <w:rsid w:val="00DC017D"/>
    <w:rsid w:val="00DC1C55"/>
    <w:rsid w:val="00DC41BD"/>
    <w:rsid w:val="00DC46ED"/>
    <w:rsid w:val="00DC4E5B"/>
    <w:rsid w:val="00DC746D"/>
    <w:rsid w:val="00DC7ED4"/>
    <w:rsid w:val="00DD0874"/>
    <w:rsid w:val="00DD44AA"/>
    <w:rsid w:val="00DD4AD8"/>
    <w:rsid w:val="00DD55A6"/>
    <w:rsid w:val="00DE0135"/>
    <w:rsid w:val="00DF012D"/>
    <w:rsid w:val="00DF1CCD"/>
    <w:rsid w:val="00DF30C8"/>
    <w:rsid w:val="00DF364D"/>
    <w:rsid w:val="00DF42F5"/>
    <w:rsid w:val="00DF4F4A"/>
    <w:rsid w:val="00DF5239"/>
    <w:rsid w:val="00DF5B4F"/>
    <w:rsid w:val="00DF5C2B"/>
    <w:rsid w:val="00DF5F81"/>
    <w:rsid w:val="00DF610C"/>
    <w:rsid w:val="00DF7953"/>
    <w:rsid w:val="00DF7C70"/>
    <w:rsid w:val="00E02604"/>
    <w:rsid w:val="00E04EC2"/>
    <w:rsid w:val="00E05CDD"/>
    <w:rsid w:val="00E06085"/>
    <w:rsid w:val="00E0609F"/>
    <w:rsid w:val="00E14355"/>
    <w:rsid w:val="00E166FF"/>
    <w:rsid w:val="00E17505"/>
    <w:rsid w:val="00E22DB8"/>
    <w:rsid w:val="00E235E5"/>
    <w:rsid w:val="00E23A94"/>
    <w:rsid w:val="00E24900"/>
    <w:rsid w:val="00E254AB"/>
    <w:rsid w:val="00E25C19"/>
    <w:rsid w:val="00E278AB"/>
    <w:rsid w:val="00E327C0"/>
    <w:rsid w:val="00E339F9"/>
    <w:rsid w:val="00E3459A"/>
    <w:rsid w:val="00E3752C"/>
    <w:rsid w:val="00E3796A"/>
    <w:rsid w:val="00E40F31"/>
    <w:rsid w:val="00E441DF"/>
    <w:rsid w:val="00E51C19"/>
    <w:rsid w:val="00E52E6A"/>
    <w:rsid w:val="00E53D41"/>
    <w:rsid w:val="00E5406D"/>
    <w:rsid w:val="00E544A3"/>
    <w:rsid w:val="00E548FA"/>
    <w:rsid w:val="00E54F3F"/>
    <w:rsid w:val="00E554ED"/>
    <w:rsid w:val="00E55CF5"/>
    <w:rsid w:val="00E621E8"/>
    <w:rsid w:val="00E63C37"/>
    <w:rsid w:val="00E645E3"/>
    <w:rsid w:val="00E6725D"/>
    <w:rsid w:val="00E74427"/>
    <w:rsid w:val="00E74E29"/>
    <w:rsid w:val="00E75764"/>
    <w:rsid w:val="00E77AE8"/>
    <w:rsid w:val="00E77F61"/>
    <w:rsid w:val="00E82852"/>
    <w:rsid w:val="00E83071"/>
    <w:rsid w:val="00E84FC1"/>
    <w:rsid w:val="00E86D0B"/>
    <w:rsid w:val="00EA00BA"/>
    <w:rsid w:val="00EA16B2"/>
    <w:rsid w:val="00EA33B3"/>
    <w:rsid w:val="00EA3E2C"/>
    <w:rsid w:val="00EA3F87"/>
    <w:rsid w:val="00EA6171"/>
    <w:rsid w:val="00EA6D71"/>
    <w:rsid w:val="00EA7675"/>
    <w:rsid w:val="00EB3205"/>
    <w:rsid w:val="00EB3417"/>
    <w:rsid w:val="00EB34E8"/>
    <w:rsid w:val="00EB76CE"/>
    <w:rsid w:val="00EB76F2"/>
    <w:rsid w:val="00EC0244"/>
    <w:rsid w:val="00EC0BF7"/>
    <w:rsid w:val="00EC1419"/>
    <w:rsid w:val="00EC1887"/>
    <w:rsid w:val="00EC1FAC"/>
    <w:rsid w:val="00EC3279"/>
    <w:rsid w:val="00EC498E"/>
    <w:rsid w:val="00EC67F6"/>
    <w:rsid w:val="00EC7C95"/>
    <w:rsid w:val="00ED0527"/>
    <w:rsid w:val="00ED151E"/>
    <w:rsid w:val="00ED17E7"/>
    <w:rsid w:val="00ED2074"/>
    <w:rsid w:val="00ED5961"/>
    <w:rsid w:val="00EE087A"/>
    <w:rsid w:val="00EE1A5D"/>
    <w:rsid w:val="00EE26F9"/>
    <w:rsid w:val="00EE2811"/>
    <w:rsid w:val="00EE5181"/>
    <w:rsid w:val="00EE5965"/>
    <w:rsid w:val="00EE6A23"/>
    <w:rsid w:val="00EF0CC4"/>
    <w:rsid w:val="00EF6032"/>
    <w:rsid w:val="00EF6D4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7C9F"/>
    <w:rsid w:val="00F302F4"/>
    <w:rsid w:val="00F33E7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2E3"/>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37F7"/>
    <w:rsid w:val="00FB415F"/>
    <w:rsid w:val="00FB7436"/>
    <w:rsid w:val="00FB79F3"/>
    <w:rsid w:val="00FC191B"/>
    <w:rsid w:val="00FC2D7F"/>
    <w:rsid w:val="00FC71D5"/>
    <w:rsid w:val="00FD0C96"/>
    <w:rsid w:val="00FD6E0C"/>
    <w:rsid w:val="00FD70B8"/>
    <w:rsid w:val="00FE20CB"/>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15:docId w15:val="{DCAF77EC-80C2-43E0-B82C-574D65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01F6-A17D-4C42-89F9-B700729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33E01-AE16-487F-A818-A1614020BB6E}">
  <ds:schemaRefs>
    <ds:schemaRef ds:uri="http://schemas.microsoft.com/sharepoint/v3/contenttype/forms"/>
  </ds:schemaRefs>
</ds:datastoreItem>
</file>

<file path=customXml/itemProps3.xml><?xml version="1.0" encoding="utf-8"?>
<ds:datastoreItem xmlns:ds="http://schemas.openxmlformats.org/officeDocument/2006/customXml" ds:itemID="{BB04A1B7-E8E7-4DB4-85F0-302FDB4CAA1F}">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23711800-495F-4A86-83C9-E09496BF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厚岸町観光商工課商工雇用係</cp:lastModifiedBy>
  <cp:revision>3</cp:revision>
  <cp:lastPrinted>2023-03-28T06:11:00Z</cp:lastPrinted>
  <dcterms:created xsi:type="dcterms:W3CDTF">2023-08-25T03:56:00Z</dcterms:created>
  <dcterms:modified xsi:type="dcterms:W3CDTF">2023-08-25T04:02:00Z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